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AB" w:rsidRDefault="002840AB" w:rsidP="002840AB">
      <w:pPr>
        <w:rPr>
          <w:b/>
          <w:bCs/>
        </w:rPr>
      </w:pPr>
      <w:r>
        <w:rPr>
          <w:b/>
          <w:bCs/>
        </w:rPr>
        <w:t>Il d</w:t>
      </w:r>
      <w:r w:rsidRPr="00461B8E">
        <w:rPr>
          <w:b/>
          <w:bCs/>
        </w:rPr>
        <w:t xml:space="preserve">iritto come esperienza valutativa. </w:t>
      </w:r>
    </w:p>
    <w:p w:rsidR="002840AB" w:rsidRDefault="002840AB" w:rsidP="002840AB">
      <w:pPr>
        <w:jc w:val="both"/>
      </w:pPr>
      <w:r>
        <w:t>Oltre ad essere “un insieme di disposizioni giuridiche poste da chi è titolare del monopolio della forza legittima (lo Stato e gli altri produttori di fonti – regioni, sindaci, università etc. –</w:t>
      </w:r>
      <w:proofErr w:type="gramStart"/>
      <w:r>
        <w:t xml:space="preserve">  </w:t>
      </w:r>
      <w:proofErr w:type="gramEnd"/>
      <w:r>
        <w:t xml:space="preserve">da esso autorizzati)”, il diritto è anche un’esperienza valutativa, in cui si confrontano le nostre idee del bene, del conveniente e il nostro senso di giustizia. In questo senso, le “norme” che siamo in grado di ricavare dalle “disposizioni” dipendono dalle idee di bene, di giusto e di opportuno in un determinato momento storico. Queste idee, infatti, sono storicamente situate e mutano nel tempo per il mutare del </w:t>
      </w:r>
      <w:proofErr w:type="gramStart"/>
      <w:r>
        <w:t>contesto</w:t>
      </w:r>
      <w:proofErr w:type="gramEnd"/>
      <w:r>
        <w:t xml:space="preserve"> sociale, ma anche perché qualcuno nella conversazione costituzionale avanza nuovi argomenti o perché sorgono nuovi fatti (es. si inizia ad essere discriminati perché si è obesi o perché si ha un figlio disabile) che portano il diritto a prendere una posizione. </w:t>
      </w:r>
    </w:p>
    <w:p w:rsidR="002840AB" w:rsidRDefault="002840AB" w:rsidP="002840AB">
      <w:pPr>
        <w:jc w:val="both"/>
      </w:pPr>
      <w:r>
        <w:t>Una</w:t>
      </w:r>
      <w:r w:rsidRPr="00A14EBC">
        <w:t xml:space="preserve"> frase è molto </w:t>
      </w:r>
      <w:proofErr w:type="gramStart"/>
      <w:r w:rsidRPr="00A14EBC">
        <w:t>significativa</w:t>
      </w:r>
      <w:proofErr w:type="gramEnd"/>
      <w:r>
        <w:t xml:space="preserve"> e si contrappone all’idea positivistica del diritto come legge, come testo scritto</w:t>
      </w:r>
      <w:r w:rsidRPr="00A14EBC">
        <w:t>: “</w:t>
      </w:r>
      <w:r w:rsidRPr="000539DB">
        <w:rPr>
          <w:i/>
          <w:iCs/>
        </w:rPr>
        <w:t xml:space="preserve">the law </w:t>
      </w:r>
      <w:proofErr w:type="spellStart"/>
      <w:r w:rsidRPr="000539DB">
        <w:rPr>
          <w:i/>
          <w:iCs/>
        </w:rPr>
        <w:t>is</w:t>
      </w:r>
      <w:proofErr w:type="spellEnd"/>
      <w:r w:rsidRPr="000539DB">
        <w:rPr>
          <w:i/>
          <w:iCs/>
        </w:rPr>
        <w:t xml:space="preserve"> the culture </w:t>
      </w:r>
      <w:proofErr w:type="spellStart"/>
      <w:r w:rsidRPr="000539DB">
        <w:rPr>
          <w:i/>
          <w:iCs/>
        </w:rPr>
        <w:t>that</w:t>
      </w:r>
      <w:proofErr w:type="spellEnd"/>
      <w:r w:rsidRPr="000539DB">
        <w:rPr>
          <w:i/>
          <w:iCs/>
        </w:rPr>
        <w:t xml:space="preserve"> </w:t>
      </w:r>
      <w:proofErr w:type="spellStart"/>
      <w:r w:rsidRPr="000539DB">
        <w:rPr>
          <w:i/>
          <w:iCs/>
        </w:rPr>
        <w:t>we</w:t>
      </w:r>
      <w:proofErr w:type="spellEnd"/>
      <w:r w:rsidRPr="000539DB">
        <w:rPr>
          <w:i/>
          <w:iCs/>
        </w:rPr>
        <w:t xml:space="preserve"> remake </w:t>
      </w:r>
      <w:proofErr w:type="spellStart"/>
      <w:r w:rsidRPr="000539DB">
        <w:rPr>
          <w:i/>
          <w:iCs/>
        </w:rPr>
        <w:t>whenever</w:t>
      </w:r>
      <w:proofErr w:type="spellEnd"/>
      <w:r w:rsidRPr="000539DB">
        <w:rPr>
          <w:i/>
          <w:iCs/>
        </w:rPr>
        <w:t xml:space="preserve"> </w:t>
      </w:r>
      <w:proofErr w:type="spellStart"/>
      <w:r w:rsidRPr="000539DB">
        <w:rPr>
          <w:i/>
          <w:iCs/>
        </w:rPr>
        <w:t>we</w:t>
      </w:r>
      <w:proofErr w:type="spellEnd"/>
      <w:r w:rsidRPr="000539DB">
        <w:rPr>
          <w:i/>
          <w:iCs/>
        </w:rPr>
        <w:t xml:space="preserve"> </w:t>
      </w:r>
      <w:proofErr w:type="spellStart"/>
      <w:r w:rsidRPr="000539DB">
        <w:rPr>
          <w:i/>
          <w:iCs/>
        </w:rPr>
        <w:t>speak</w:t>
      </w:r>
      <w:proofErr w:type="spellEnd"/>
      <w:r w:rsidRPr="000539DB">
        <w:rPr>
          <w:i/>
          <w:iCs/>
        </w:rPr>
        <w:t xml:space="preserve"> </w:t>
      </w:r>
      <w:proofErr w:type="spellStart"/>
      <w:r w:rsidRPr="000539DB">
        <w:rPr>
          <w:i/>
          <w:iCs/>
        </w:rPr>
        <w:t>as</w:t>
      </w:r>
      <w:proofErr w:type="spellEnd"/>
      <w:r w:rsidRPr="000539DB">
        <w:rPr>
          <w:i/>
          <w:iCs/>
        </w:rPr>
        <w:t xml:space="preserve"> </w:t>
      </w:r>
      <w:proofErr w:type="spellStart"/>
      <w:r w:rsidRPr="000539DB">
        <w:rPr>
          <w:i/>
          <w:iCs/>
        </w:rPr>
        <w:t>lawyers</w:t>
      </w:r>
      <w:proofErr w:type="spellEnd"/>
      <w:r w:rsidRPr="00A14EBC">
        <w:t xml:space="preserve">”, il diritto è la cultura che noi rifacciamo ogniqualvolta parliamo come giuristi. </w:t>
      </w:r>
      <w:r>
        <w:t xml:space="preserve">I giuristi sono i giudici di cui noi studiamo le argomentazioni, ma siamo anche noi, come cittadini, come studenti di giurisprudenza, come membri della società (cittadini o no) quando introduciamo nuove idee o argomenti che potranno in futuro essere accolti o meno, convincere e mutare il </w:t>
      </w:r>
      <w:proofErr w:type="gramStart"/>
      <w:r>
        <w:t>contesto</w:t>
      </w:r>
      <w:proofErr w:type="gramEnd"/>
      <w:r>
        <w:t xml:space="preserve"> sociale in cui maturano le norme. Come giuristi </w:t>
      </w:r>
      <w:proofErr w:type="gramStart"/>
      <w:r>
        <w:t>dobbiamo</w:t>
      </w:r>
      <w:proofErr w:type="gramEnd"/>
      <w:r>
        <w:t xml:space="preserve"> essere molto consapevoli delle dinamiche che portano all’emergere di certi argomenti, alla tutela di certi beni giuridici rispetto ad altri e alla conseguente produzione delle norme che li tutelano.</w:t>
      </w:r>
    </w:p>
    <w:p w:rsidR="002840AB" w:rsidRDefault="002840AB" w:rsidP="002840AB">
      <w:pPr>
        <w:jc w:val="both"/>
      </w:pPr>
      <w:r>
        <w:t>Parlando delle ordinanze abbiamo visto emergere un nuovo bene, quello della sicurezza urbana. E’ un</w:t>
      </w:r>
      <w:proofErr w:type="gramStart"/>
      <w:r>
        <w:t xml:space="preserve"> ‘</w:t>
      </w:r>
      <w:proofErr w:type="gramEnd"/>
      <w:r>
        <w:t xml:space="preserve">esigenza indubbiamente attuale: tutti noi vogliamo sentirci sicuri e avere città pulite e decorose. Ma a quali altri beni costituzionali </w:t>
      </w:r>
      <w:proofErr w:type="gramStart"/>
      <w:r>
        <w:t>siamo</w:t>
      </w:r>
      <w:proofErr w:type="gramEnd"/>
      <w:r>
        <w:t xml:space="preserve"> disposti a rinunciare? O se non proprio beni costituzionali, a quale punto </w:t>
      </w:r>
      <w:proofErr w:type="gramStart"/>
      <w:r>
        <w:t>siamo</w:t>
      </w:r>
      <w:proofErr w:type="gramEnd"/>
      <w:r>
        <w:t xml:space="preserve"> disposti ad accettare restrizioni al nostro agire e a quello degli altri? Ecco, ad esempio siamo disposti a imporre che le persone non mendichino più? Riteniamo giusto, opportuno, conveniente che un bambino che mendica con la mamma sia </w:t>
      </w:r>
      <w:proofErr w:type="gramStart"/>
      <w:r>
        <w:t>affidato</w:t>
      </w:r>
      <w:proofErr w:type="gramEnd"/>
      <w:r>
        <w:t xml:space="preserve"> ad un’altra famiglia? Qual è in questo caso il bene del bambino? Sono questioni complesse, rispetto alle quali è importante tenere d’occhio tutti i possibili argomenti per soppesarli e bilanciarli. In questo è molto utile dare uno sguardo alla storia degli argomenti, delle valutazioni date giuridicamente al fenomeno del mendicare.</w:t>
      </w:r>
    </w:p>
    <w:p w:rsidR="002840AB" w:rsidRPr="00A14EBC" w:rsidRDefault="002840AB" w:rsidP="002840AB">
      <w:proofErr w:type="gramStart"/>
    </w:p>
    <w:p w:rsidR="002840AB" w:rsidRDefault="002840AB" w:rsidP="002840AB">
      <w:r w:rsidRPr="00461B8E">
        <w:rPr>
          <w:b/>
          <w:bCs/>
        </w:rPr>
        <w:t>Le percezioni del mendicare</w:t>
      </w:r>
      <w:r>
        <w:rPr>
          <w:b/>
          <w:bCs/>
        </w:rPr>
        <w:t xml:space="preserve"> nella storia costituzionale italiana</w:t>
      </w:r>
      <w:proofErr w:type="gramEnd"/>
      <w:r>
        <w:t xml:space="preserve">. </w:t>
      </w:r>
    </w:p>
    <w:p w:rsidR="002840AB" w:rsidRDefault="002840AB" w:rsidP="002840AB"/>
    <w:tbl>
      <w:tblPr>
        <w:tblStyle w:val="Grigliatabella"/>
        <w:tblW w:w="0" w:type="auto"/>
        <w:tblInd w:w="0" w:type="dxa"/>
        <w:tblLook w:val="01E0" w:firstRow="1" w:lastRow="1" w:firstColumn="1" w:lastColumn="1" w:noHBand="0" w:noVBand="0"/>
      </w:tblPr>
      <w:tblGrid>
        <w:gridCol w:w="2167"/>
        <w:gridCol w:w="2690"/>
        <w:gridCol w:w="2523"/>
        <w:gridCol w:w="2474"/>
      </w:tblGrid>
      <w:tr w:rsidR="002840AB" w:rsidTr="0014783B">
        <w:tc>
          <w:tcPr>
            <w:tcW w:w="2167" w:type="dxa"/>
          </w:tcPr>
          <w:p w:rsidR="002840AB" w:rsidRDefault="002840AB" w:rsidP="0014783B"/>
        </w:tc>
        <w:tc>
          <w:tcPr>
            <w:tcW w:w="2690" w:type="dxa"/>
          </w:tcPr>
          <w:p w:rsidR="002840AB" w:rsidRPr="00617263" w:rsidRDefault="002840AB" w:rsidP="0014783B">
            <w:pPr>
              <w:rPr>
                <w:b/>
                <w:bCs/>
              </w:rPr>
            </w:pPr>
            <w:r w:rsidRPr="00617263">
              <w:rPr>
                <w:b/>
                <w:bCs/>
              </w:rPr>
              <w:t xml:space="preserve">Argomenti/valutazioni </w:t>
            </w:r>
            <w:r>
              <w:rPr>
                <w:b/>
                <w:bCs/>
              </w:rPr>
              <w:t xml:space="preserve">delle </w:t>
            </w:r>
            <w:r w:rsidRPr="00617263">
              <w:rPr>
                <w:b/>
                <w:bCs/>
              </w:rPr>
              <w:t xml:space="preserve">parti </w:t>
            </w:r>
            <w:r>
              <w:rPr>
                <w:b/>
                <w:bCs/>
              </w:rPr>
              <w:t>(giudice a qui)</w:t>
            </w:r>
          </w:p>
        </w:tc>
        <w:tc>
          <w:tcPr>
            <w:tcW w:w="2523" w:type="dxa"/>
          </w:tcPr>
          <w:p w:rsidR="002840AB" w:rsidRPr="00617263" w:rsidRDefault="002840AB" w:rsidP="0014783B">
            <w:pPr>
              <w:rPr>
                <w:b/>
                <w:bCs/>
              </w:rPr>
            </w:pPr>
            <w:r w:rsidRPr="00617263">
              <w:rPr>
                <w:b/>
                <w:bCs/>
              </w:rPr>
              <w:t xml:space="preserve">Argomenti/valutazioni </w:t>
            </w:r>
            <w:r>
              <w:rPr>
                <w:b/>
                <w:bCs/>
              </w:rPr>
              <w:t xml:space="preserve">della </w:t>
            </w:r>
            <w:r w:rsidRPr="00617263">
              <w:rPr>
                <w:b/>
                <w:bCs/>
              </w:rPr>
              <w:t>Corte</w:t>
            </w:r>
          </w:p>
        </w:tc>
        <w:tc>
          <w:tcPr>
            <w:tcW w:w="2474" w:type="dxa"/>
          </w:tcPr>
          <w:p w:rsidR="002840AB" w:rsidRPr="00617263" w:rsidRDefault="002840AB" w:rsidP="0014783B">
            <w:pPr>
              <w:rPr>
                <w:b/>
                <w:bCs/>
              </w:rPr>
            </w:pPr>
            <w:r w:rsidRPr="00617263">
              <w:rPr>
                <w:b/>
                <w:bCs/>
              </w:rPr>
              <w:t xml:space="preserve">Il </w:t>
            </w:r>
            <w:proofErr w:type="gramStart"/>
            <w:r w:rsidRPr="00617263">
              <w:rPr>
                <w:b/>
                <w:bCs/>
              </w:rPr>
              <w:t>contesto</w:t>
            </w:r>
            <w:proofErr w:type="gramEnd"/>
            <w:r w:rsidRPr="00617263">
              <w:rPr>
                <w:b/>
                <w:bCs/>
              </w:rPr>
              <w:t xml:space="preserve"> sociale</w:t>
            </w:r>
            <w:r>
              <w:rPr>
                <w:b/>
                <w:bCs/>
              </w:rPr>
              <w:t xml:space="preserve"> del tempo</w:t>
            </w:r>
          </w:p>
        </w:tc>
      </w:tr>
      <w:tr w:rsidR="002840AB" w:rsidTr="0014783B">
        <w:tc>
          <w:tcPr>
            <w:tcW w:w="2167" w:type="dxa"/>
          </w:tcPr>
          <w:p w:rsidR="002840AB" w:rsidRDefault="002840AB" w:rsidP="0014783B">
            <w:pPr>
              <w:rPr>
                <w:b/>
                <w:bCs/>
              </w:rPr>
            </w:pPr>
            <w:r w:rsidRPr="00617263">
              <w:rPr>
                <w:b/>
                <w:bCs/>
              </w:rPr>
              <w:t xml:space="preserve">Corte </w:t>
            </w:r>
            <w:proofErr w:type="spellStart"/>
            <w:r w:rsidRPr="00617263">
              <w:rPr>
                <w:b/>
                <w:bCs/>
              </w:rPr>
              <w:t>Cost</w:t>
            </w:r>
            <w:proofErr w:type="spellEnd"/>
            <w:r w:rsidRPr="00617263">
              <w:rPr>
                <w:b/>
                <w:bCs/>
              </w:rPr>
              <w:t>. 51/</w:t>
            </w:r>
            <w:r>
              <w:rPr>
                <w:b/>
                <w:bCs/>
              </w:rPr>
              <w:t>1959</w:t>
            </w:r>
          </w:p>
          <w:p w:rsidR="002840AB" w:rsidRPr="00617263" w:rsidRDefault="002840AB" w:rsidP="0014783B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</w:t>
            </w:r>
            <w:proofErr w:type="gramEnd"/>
            <w:r>
              <w:rPr>
                <w:b/>
                <w:bCs/>
              </w:rPr>
              <w:t>art. 670 c.p. questione non fondata</w:t>
            </w:r>
            <w:proofErr w:type="gramStart"/>
            <w:r>
              <w:rPr>
                <w:b/>
                <w:bCs/>
              </w:rPr>
              <w:t>)</w:t>
            </w:r>
            <w:proofErr w:type="gramEnd"/>
          </w:p>
        </w:tc>
        <w:tc>
          <w:tcPr>
            <w:tcW w:w="2690" w:type="dxa"/>
          </w:tcPr>
          <w:p w:rsidR="002840AB" w:rsidRDefault="002840AB" w:rsidP="0014783B">
            <w:r>
              <w:t xml:space="preserve">Esiste la libertà di mendicare </w:t>
            </w:r>
            <w:proofErr w:type="gramStart"/>
            <w:r>
              <w:t>in quanto</w:t>
            </w:r>
            <w:proofErr w:type="gramEnd"/>
            <w:r>
              <w:t xml:space="preserve"> la costituzione prevede la libertà di </w:t>
            </w:r>
            <w:r w:rsidRPr="0066412E">
              <w:rPr>
                <w:color w:val="3366FF"/>
              </w:rPr>
              <w:t xml:space="preserve">assistenza privata </w:t>
            </w:r>
            <w:r>
              <w:t>(art. 38) accanto all’assistenza pubblica</w:t>
            </w:r>
          </w:p>
        </w:tc>
        <w:tc>
          <w:tcPr>
            <w:tcW w:w="2523" w:type="dxa"/>
          </w:tcPr>
          <w:p w:rsidR="002840AB" w:rsidRDefault="002840AB" w:rsidP="0014783B">
            <w:r>
              <w:t xml:space="preserve">La libertà di mendicare non esiste, è evidente che non è identificabile con l’assistenza privata. Il reato </w:t>
            </w:r>
            <w:r w:rsidRPr="00C73852">
              <w:t xml:space="preserve">tutela “il bene giuridico della </w:t>
            </w:r>
            <w:r w:rsidRPr="0066412E">
              <w:rPr>
                <w:color w:val="FF0000"/>
              </w:rPr>
              <w:t>tranquillità pubblica</w:t>
            </w:r>
            <w:r w:rsidRPr="00C73852">
              <w:t>, con qualche riflesso sull'</w:t>
            </w:r>
            <w:r w:rsidRPr="0066412E">
              <w:rPr>
                <w:color w:val="FF0000"/>
              </w:rPr>
              <w:t xml:space="preserve">ordine </w:t>
            </w:r>
            <w:proofErr w:type="gramStart"/>
            <w:r w:rsidRPr="0066412E">
              <w:rPr>
                <w:color w:val="FF0000"/>
              </w:rPr>
              <w:t>pubblico</w:t>
            </w:r>
            <w:proofErr w:type="gramEnd"/>
            <w:r w:rsidRPr="00C73852">
              <w:t>”.</w:t>
            </w:r>
          </w:p>
          <w:p w:rsidR="002840AB" w:rsidRDefault="002840AB" w:rsidP="0014783B"/>
          <w:p w:rsidR="002840AB" w:rsidRDefault="002840AB" w:rsidP="0014783B">
            <w:r>
              <w:t>Beni giuridici diversi.</w:t>
            </w:r>
          </w:p>
          <w:p w:rsidR="002840AB" w:rsidRDefault="002840AB" w:rsidP="0014783B"/>
        </w:tc>
        <w:tc>
          <w:tcPr>
            <w:tcW w:w="2474" w:type="dxa"/>
          </w:tcPr>
          <w:p w:rsidR="002840AB" w:rsidRDefault="002840AB" w:rsidP="0014783B">
            <w:r>
              <w:t>Ordine pubblico come valore.</w:t>
            </w:r>
          </w:p>
          <w:p w:rsidR="002840AB" w:rsidRDefault="002840AB" w:rsidP="0014783B">
            <w:r>
              <w:t>Società ancora tradizionale.</w:t>
            </w:r>
          </w:p>
          <w:p w:rsidR="002840AB" w:rsidRDefault="002840AB" w:rsidP="0014783B">
            <w:r>
              <w:t>Dal fascismo abituati al fatto che ogni infrazione si paga con il sacrificio della libertà personale.</w:t>
            </w:r>
          </w:p>
          <w:p w:rsidR="002840AB" w:rsidRDefault="002840AB" w:rsidP="0014783B">
            <w:r>
              <w:t xml:space="preserve">C’è il boom economico e non si mendica per stato di necessità </w:t>
            </w:r>
            <w:proofErr w:type="gramStart"/>
            <w:r>
              <w:t>in quanto</w:t>
            </w:r>
            <w:proofErr w:type="gramEnd"/>
            <w:r>
              <w:t xml:space="preserve"> tutti possono lavorare.</w:t>
            </w:r>
            <w:bookmarkStart w:id="0" w:name="_GoBack"/>
            <w:bookmarkEnd w:id="0"/>
          </w:p>
          <w:p w:rsidR="002840AB" w:rsidRDefault="002840AB" w:rsidP="0014783B">
            <w:r>
              <w:t xml:space="preserve">Al giudice a quo non viene in mente un’argomentazione più pregnante (come accadrà nel 1975) di questa dell’art. 38. Manca </w:t>
            </w:r>
            <w:proofErr w:type="gramStart"/>
            <w:r>
              <w:t>interiorizzazione</w:t>
            </w:r>
            <w:proofErr w:type="gramEnd"/>
            <w:r>
              <w:t xml:space="preserve"> dei valori costituzionali.</w:t>
            </w:r>
          </w:p>
        </w:tc>
      </w:tr>
      <w:tr w:rsidR="002840AB" w:rsidTr="0014783B">
        <w:tc>
          <w:tcPr>
            <w:tcW w:w="2167" w:type="dxa"/>
          </w:tcPr>
          <w:p w:rsidR="002840AB" w:rsidRDefault="002840AB" w:rsidP="0014783B">
            <w:pPr>
              <w:rPr>
                <w:b/>
                <w:bCs/>
              </w:rPr>
            </w:pPr>
            <w:r w:rsidRPr="00617263">
              <w:rPr>
                <w:b/>
                <w:bCs/>
              </w:rPr>
              <w:t xml:space="preserve">Corte </w:t>
            </w:r>
            <w:proofErr w:type="spellStart"/>
            <w:r w:rsidRPr="00617263">
              <w:rPr>
                <w:b/>
                <w:bCs/>
              </w:rPr>
              <w:t>Cost</w:t>
            </w:r>
            <w:proofErr w:type="spellEnd"/>
            <w:r w:rsidRPr="00617263">
              <w:rPr>
                <w:b/>
                <w:bCs/>
              </w:rPr>
              <w:t>. 102/1975</w:t>
            </w:r>
          </w:p>
          <w:p w:rsidR="002840AB" w:rsidRPr="00617263" w:rsidRDefault="002840AB" w:rsidP="0014783B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</w:t>
            </w:r>
            <w:proofErr w:type="gramEnd"/>
            <w:r>
              <w:rPr>
                <w:b/>
                <w:bCs/>
              </w:rPr>
              <w:t xml:space="preserve">questione non fondata, ma la Corte </w:t>
            </w:r>
            <w:r>
              <w:rPr>
                <w:b/>
                <w:bCs/>
              </w:rPr>
              <w:lastRenderedPageBreak/>
              <w:t>precisa che all’accattonaggio per bisogno si può applicare l’art. 54 c.p. sullo stato di necessità</w:t>
            </w:r>
            <w:proofErr w:type="gramStart"/>
            <w:r>
              <w:rPr>
                <w:b/>
                <w:bCs/>
              </w:rPr>
              <w:t>)</w:t>
            </w:r>
            <w:proofErr w:type="gramEnd"/>
          </w:p>
        </w:tc>
        <w:tc>
          <w:tcPr>
            <w:tcW w:w="2690" w:type="dxa"/>
          </w:tcPr>
          <w:p w:rsidR="002840AB" w:rsidRDefault="002840AB" w:rsidP="0014783B">
            <w:r>
              <w:lastRenderedPageBreak/>
              <w:t xml:space="preserve">a) Mendicare come </w:t>
            </w:r>
            <w:r>
              <w:rPr>
                <w:color w:val="3366FF"/>
              </w:rPr>
              <w:t>l</w:t>
            </w:r>
            <w:r w:rsidRPr="0066412E">
              <w:rPr>
                <w:color w:val="3366FF"/>
              </w:rPr>
              <w:t>ibera scelta di vita</w:t>
            </w:r>
            <w:r>
              <w:t xml:space="preserve">, </w:t>
            </w:r>
          </w:p>
          <w:p w:rsidR="002840AB" w:rsidRDefault="002840AB" w:rsidP="0014783B">
            <w:r>
              <w:t xml:space="preserve">b) Mendicare come </w:t>
            </w:r>
            <w:r w:rsidRPr="0066412E">
              <w:rPr>
                <w:color w:val="3366FF"/>
              </w:rPr>
              <w:t xml:space="preserve">stato di </w:t>
            </w:r>
            <w:r w:rsidRPr="0066412E">
              <w:rPr>
                <w:color w:val="3366FF"/>
              </w:rPr>
              <w:lastRenderedPageBreak/>
              <w:t>bisogno</w:t>
            </w:r>
            <w:r>
              <w:t xml:space="preserve"> che attiva dovere di solidarietà costituzionale </w:t>
            </w:r>
          </w:p>
          <w:p w:rsidR="002840AB" w:rsidRDefault="002840AB" w:rsidP="0014783B">
            <w:r>
              <w:t xml:space="preserve">c) Mendicare come realtà, situazione di fatto data dalla </w:t>
            </w:r>
            <w:r w:rsidRPr="00C73852">
              <w:t>disoccupazione</w:t>
            </w:r>
            <w:r>
              <w:t xml:space="preserve"> quale </w:t>
            </w:r>
            <w:r w:rsidRPr="0066412E">
              <w:rPr>
                <w:color w:val="3366FF"/>
              </w:rPr>
              <w:t>fenomeno strutturale</w:t>
            </w:r>
            <w:r>
              <w:t xml:space="preserve"> di un regime di libertà economica </w:t>
            </w:r>
            <w:proofErr w:type="gramStart"/>
            <w:r>
              <w:t>(</w:t>
            </w:r>
            <w:proofErr w:type="gramEnd"/>
            <w:r>
              <w:t>art. 41)</w:t>
            </w:r>
          </w:p>
          <w:p w:rsidR="002840AB" w:rsidRDefault="002840AB" w:rsidP="0014783B">
            <w:pPr>
              <w:rPr>
                <w:color w:val="0000FF"/>
              </w:rPr>
            </w:pPr>
            <w:r>
              <w:t xml:space="preserve">Secondo il giudice non utilizzabili nel nuovo </w:t>
            </w:r>
            <w:proofErr w:type="gramStart"/>
            <w:r>
              <w:t>contesto</w:t>
            </w:r>
            <w:proofErr w:type="gramEnd"/>
            <w:r>
              <w:t xml:space="preserve"> </w:t>
            </w:r>
            <w:proofErr w:type="spellStart"/>
            <w:r>
              <w:t>cost</w:t>
            </w:r>
            <w:proofErr w:type="spellEnd"/>
            <w:r>
              <w:t xml:space="preserve">.: la </w:t>
            </w:r>
            <w:r w:rsidRPr="000540E9">
              <w:rPr>
                <w:color w:val="0000FF"/>
              </w:rPr>
              <w:t>tutela del pubblico decoro, la lotta contro il parassitismo, la moralità pubblica "intesa come fatto ideologico e razziale",</w:t>
            </w:r>
            <w:r>
              <w:rPr>
                <w:color w:val="0000FF"/>
              </w:rPr>
              <w:t xml:space="preserve"> </w:t>
            </w:r>
            <w:r w:rsidRPr="000540E9">
              <w:rPr>
                <w:color w:val="0000FF"/>
              </w:rPr>
              <w:t>ipotesi speciale di molestia</w:t>
            </w:r>
          </w:p>
          <w:p w:rsidR="002840AB" w:rsidRDefault="002840AB" w:rsidP="0014783B">
            <w:r w:rsidRPr="0015403D">
              <w:t>Non</w:t>
            </w:r>
            <w:r>
              <w:t xml:space="preserve"> si deve</w:t>
            </w:r>
            <w:r>
              <w:rPr>
                <w:color w:val="0000FF"/>
              </w:rPr>
              <w:t xml:space="preserve"> criminalizzare i </w:t>
            </w:r>
            <w:r w:rsidRPr="000540E9">
              <w:rPr>
                <w:color w:val="0000FF"/>
              </w:rPr>
              <w:t>"</w:t>
            </w:r>
            <w:r w:rsidRPr="000540E9">
              <w:rPr>
                <w:rStyle w:val="spelle"/>
                <w:color w:val="0000FF"/>
              </w:rPr>
              <w:t>marginalizzati</w:t>
            </w:r>
            <w:r w:rsidRPr="000540E9">
              <w:rPr>
                <w:color w:val="0000FF"/>
              </w:rPr>
              <w:t xml:space="preserve">" quali i vecchi, gli analfabeti, i malati cronici non gravi, ecc., e per i quali limitatissime sono le possibilità di svolgere </w:t>
            </w:r>
            <w:proofErr w:type="gramStart"/>
            <w:r w:rsidRPr="000540E9">
              <w:rPr>
                <w:color w:val="0000FF"/>
              </w:rPr>
              <w:t xml:space="preserve">una </w:t>
            </w:r>
            <w:proofErr w:type="gramEnd"/>
            <w:r w:rsidRPr="000540E9">
              <w:rPr>
                <w:color w:val="0000FF"/>
              </w:rPr>
              <w:t>attività lavorativa</w:t>
            </w:r>
          </w:p>
        </w:tc>
        <w:tc>
          <w:tcPr>
            <w:tcW w:w="2523" w:type="dxa"/>
          </w:tcPr>
          <w:p w:rsidR="002840AB" w:rsidRDefault="002840AB" w:rsidP="0014783B">
            <w:r>
              <w:lastRenderedPageBreak/>
              <w:t>Prevale il valore della tranquillità pubblica, perché i diritti vanno</w:t>
            </w:r>
            <w:proofErr w:type="gramStart"/>
            <w:r>
              <w:t xml:space="preserve">  </w:t>
            </w:r>
            <w:proofErr w:type="gramEnd"/>
            <w:r>
              <w:t xml:space="preserve">contemperati </w:t>
            </w:r>
            <w:r>
              <w:lastRenderedPageBreak/>
              <w:t xml:space="preserve">con </w:t>
            </w:r>
            <w:r w:rsidRPr="00E552B4">
              <w:rPr>
                <w:color w:val="FF0000"/>
              </w:rPr>
              <w:t>esigenze di una tollerabile convivenza</w:t>
            </w:r>
          </w:p>
          <w:p w:rsidR="002840AB" w:rsidRDefault="002840AB" w:rsidP="0014783B">
            <w:r>
              <w:t xml:space="preserve">Ma c’è un’eccezione: lo </w:t>
            </w:r>
            <w:r w:rsidRPr="0066412E">
              <w:rPr>
                <w:color w:val="FF0000"/>
              </w:rPr>
              <w:t>stato di bisogno</w:t>
            </w:r>
            <w:r>
              <w:t xml:space="preserve"> è una scriminante (la Corte suggerisce ai </w:t>
            </w:r>
            <w:proofErr w:type="gramStart"/>
            <w:r>
              <w:t>giudici</w:t>
            </w:r>
            <w:proofErr w:type="gramEnd"/>
          </w:p>
          <w:p w:rsidR="002840AB" w:rsidRDefault="002840AB" w:rsidP="0014783B">
            <w:proofErr w:type="gramStart"/>
            <w:r>
              <w:t>un’</w:t>
            </w:r>
            <w:proofErr w:type="gramEnd"/>
            <w:r>
              <w:t xml:space="preserve">interpretazione </w:t>
            </w:r>
            <w:proofErr w:type="spellStart"/>
            <w:r>
              <w:t>adeguatrice</w:t>
            </w:r>
            <w:proofErr w:type="spellEnd"/>
            <w:r>
              <w:t xml:space="preserve"> ai doveri di solidarietà costituzionale)</w:t>
            </w:r>
          </w:p>
        </w:tc>
        <w:tc>
          <w:tcPr>
            <w:tcW w:w="2474" w:type="dxa"/>
          </w:tcPr>
          <w:p w:rsidR="002840AB" w:rsidRDefault="002840AB" w:rsidP="0014783B">
            <w:r>
              <w:lastRenderedPageBreak/>
              <w:t xml:space="preserve">a) Movimenti di protesta </w:t>
            </w:r>
            <w:proofErr w:type="gramStart"/>
            <w:r>
              <w:t>rifiutano</w:t>
            </w:r>
            <w:proofErr w:type="gramEnd"/>
            <w:r>
              <w:t xml:space="preserve"> il lavoro e lo stile di vita borghese. </w:t>
            </w:r>
          </w:p>
          <w:p w:rsidR="002840AB" w:rsidRDefault="002840AB" w:rsidP="0014783B">
            <w:r>
              <w:lastRenderedPageBreak/>
              <w:t>b) Il lavoro si disumanizza, aliena e va rifiutato.</w:t>
            </w:r>
          </w:p>
          <w:p w:rsidR="002840AB" w:rsidRDefault="002840AB" w:rsidP="0014783B">
            <w:proofErr w:type="gramStart"/>
            <w:r>
              <w:t>Ma</w:t>
            </w:r>
            <w:proofErr w:type="gramEnd"/>
            <w:r>
              <w:t xml:space="preserve"> anche…</w:t>
            </w:r>
          </w:p>
          <w:p w:rsidR="002840AB" w:rsidRDefault="002840AB" w:rsidP="0014783B">
            <w:r>
              <w:t>Lettura marxista della società: mendicare come patologia del capitalismo. Disoccupazione porta molti italiani nelle strade. I ceti poveri sono non solo gli zingari, ma anche molti altri.</w:t>
            </w:r>
          </w:p>
          <w:p w:rsidR="002840AB" w:rsidRDefault="002840AB" w:rsidP="0014783B">
            <w:r>
              <w:t xml:space="preserve">c) Si comincia a </w:t>
            </w:r>
            <w:proofErr w:type="gramStart"/>
            <w:r>
              <w:t>de-criminalizzare</w:t>
            </w:r>
            <w:proofErr w:type="gramEnd"/>
            <w:r>
              <w:t xml:space="preserve"> alcune figure socialmente emarginate: i mendicanti, i vagabondi che durante il fascismo erano soggetti pericolosi.</w:t>
            </w:r>
          </w:p>
        </w:tc>
      </w:tr>
      <w:tr w:rsidR="002840AB" w:rsidTr="0014783B">
        <w:tc>
          <w:tcPr>
            <w:tcW w:w="2167" w:type="dxa"/>
          </w:tcPr>
          <w:p w:rsidR="002840AB" w:rsidRPr="00617263" w:rsidRDefault="002840AB" w:rsidP="0014783B">
            <w:pPr>
              <w:rPr>
                <w:b/>
                <w:bCs/>
              </w:rPr>
            </w:pPr>
            <w:r w:rsidRPr="00617263">
              <w:rPr>
                <w:b/>
                <w:bCs/>
              </w:rPr>
              <w:lastRenderedPageBreak/>
              <w:t xml:space="preserve">Corte </w:t>
            </w:r>
            <w:proofErr w:type="spellStart"/>
            <w:r w:rsidRPr="00617263">
              <w:rPr>
                <w:b/>
                <w:bCs/>
              </w:rPr>
              <w:t>Cost</w:t>
            </w:r>
            <w:proofErr w:type="spellEnd"/>
            <w:r w:rsidRPr="00617263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519/1995 (annulla il reato</w:t>
            </w:r>
            <w:r>
              <w:t xml:space="preserve"> </w:t>
            </w:r>
            <w:r w:rsidRPr="00461B8E">
              <w:rPr>
                <w:b/>
                <w:bCs/>
              </w:rPr>
              <w:t>resta soltanto l’accattonaggio ingannevole</w:t>
            </w:r>
            <w:proofErr w:type="gramStart"/>
            <w:r w:rsidRPr="00461B8E">
              <w:rPr>
                <w:b/>
                <w:bCs/>
              </w:rPr>
              <w:t>)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2690" w:type="dxa"/>
          </w:tcPr>
          <w:p w:rsidR="002840AB" w:rsidRDefault="002840AB" w:rsidP="0014783B">
            <w:r w:rsidRPr="0066412E">
              <w:rPr>
                <w:color w:val="3366FF"/>
              </w:rPr>
              <w:t>Solidarietà, uguaglianza e finalità rieducativa</w:t>
            </w:r>
            <w:r w:rsidRPr="0066412E">
              <w:t xml:space="preserve"> della pena contenuti negli artt. </w:t>
            </w:r>
            <w:proofErr w:type="gramStart"/>
            <w:r w:rsidRPr="0066412E">
              <w:t>2</w:t>
            </w:r>
            <w:proofErr w:type="gramEnd"/>
            <w:r w:rsidRPr="0066412E">
              <w:t>, 3 e 27</w:t>
            </w:r>
          </w:p>
        </w:tc>
        <w:tc>
          <w:tcPr>
            <w:tcW w:w="2523" w:type="dxa"/>
          </w:tcPr>
          <w:p w:rsidR="002840AB" w:rsidRDefault="002840AB" w:rsidP="0014783B">
            <w:r w:rsidRPr="0066412E">
              <w:rPr>
                <w:color w:val="FF0000"/>
              </w:rPr>
              <w:t>Ragionevolezza</w:t>
            </w:r>
            <w:r>
              <w:t xml:space="preserve">: la libertà personale è violata in modo </w:t>
            </w:r>
            <w:r w:rsidRPr="0066412E">
              <w:rPr>
                <w:color w:val="FF0000"/>
              </w:rPr>
              <w:t>sproporzionat</w:t>
            </w:r>
            <w:r>
              <w:rPr>
                <w:color w:val="FF0000"/>
              </w:rPr>
              <w:t>o</w:t>
            </w:r>
            <w:r>
              <w:t xml:space="preserve"> per la tutela dell’ordine pubblico. Nel bilanciamento con valori </w:t>
            </w:r>
            <w:proofErr w:type="spellStart"/>
            <w:proofErr w:type="gramStart"/>
            <w:r>
              <w:t>cost</w:t>
            </w:r>
            <w:proofErr w:type="spellEnd"/>
            <w:r>
              <w:t>.</w:t>
            </w:r>
            <w:proofErr w:type="gramEnd"/>
            <w:r>
              <w:t>, l’ordine pubblico esce perdente.</w:t>
            </w:r>
          </w:p>
          <w:p w:rsidR="002840AB" w:rsidRDefault="002840AB" w:rsidP="0014783B">
            <w:r>
              <w:t xml:space="preserve">Non si può </w:t>
            </w:r>
            <w:r w:rsidRPr="00264AEB">
              <w:rPr>
                <w:color w:val="FF0000"/>
              </w:rPr>
              <w:t>criminalizzare</w:t>
            </w:r>
            <w:r>
              <w:t>.</w:t>
            </w:r>
          </w:p>
          <w:p w:rsidR="002840AB" w:rsidRDefault="002840AB" w:rsidP="0014783B">
            <w:pPr>
              <w:rPr>
                <w:color w:val="FF0000"/>
              </w:rPr>
            </w:pPr>
            <w:r>
              <w:t xml:space="preserve">Mendicare come </w:t>
            </w:r>
            <w:r w:rsidRPr="00264AEB">
              <w:rPr>
                <w:color w:val="FF0000"/>
              </w:rPr>
              <w:t>richiesta di aiuto</w:t>
            </w:r>
            <w:r>
              <w:rPr>
                <w:color w:val="FF0000"/>
              </w:rPr>
              <w:t>.</w:t>
            </w:r>
          </w:p>
          <w:p w:rsidR="002840AB" w:rsidRDefault="002840AB" w:rsidP="0014783B">
            <w:proofErr w:type="gramStart"/>
            <w:r>
              <w:t>dovere</w:t>
            </w:r>
            <w:proofErr w:type="gramEnd"/>
            <w:r>
              <w:t xml:space="preserve"> di solidarietà, che appare </w:t>
            </w:r>
            <w:r w:rsidRPr="000443CE">
              <w:rPr>
                <w:color w:val="FF0000"/>
              </w:rPr>
              <w:t>inquinata</w:t>
            </w:r>
            <w:r>
              <w:t xml:space="preserve"> in tutte quelle ipotesi nelle quali il mendicante faccia impiego di mezzi fraudolenti al fine di "destare l'altrui pietà".</w:t>
            </w:r>
          </w:p>
        </w:tc>
        <w:tc>
          <w:tcPr>
            <w:tcW w:w="2474" w:type="dxa"/>
          </w:tcPr>
          <w:p w:rsidR="002840AB" w:rsidRDefault="002840AB" w:rsidP="0014783B">
            <w:r>
              <w:t xml:space="preserve">Maggiore coscienza dei diritti costituzionali. Nella percezione sociale si afferma idea che libertà personale non debba essere sacrificata di fronte a esigenze di </w:t>
            </w:r>
            <w:r w:rsidRPr="0066412E">
              <w:t>decoro, civile convivenza etc.</w:t>
            </w:r>
            <w:r>
              <w:t xml:space="preserve"> Da qui la Corte che parla di sproporzione. </w:t>
            </w:r>
          </w:p>
        </w:tc>
      </w:tr>
      <w:tr w:rsidR="002840AB" w:rsidTr="0014783B">
        <w:tc>
          <w:tcPr>
            <w:tcW w:w="2167" w:type="dxa"/>
          </w:tcPr>
          <w:p w:rsidR="002840AB" w:rsidRPr="00617263" w:rsidRDefault="002840AB" w:rsidP="0014783B">
            <w:pPr>
              <w:rPr>
                <w:b/>
                <w:bCs/>
              </w:rPr>
            </w:pPr>
            <w:r w:rsidRPr="00617263">
              <w:rPr>
                <w:b/>
                <w:bCs/>
              </w:rPr>
              <w:t>Corte Cassazione 44516/2008</w:t>
            </w:r>
            <w:r>
              <w:rPr>
                <w:b/>
                <w:bCs/>
              </w:rPr>
              <w:t xml:space="preserve">: caso di una donna Rom che mendica con il figlio, accusata di riduzione in schiavitù, Corte di Cassazione annulla </w:t>
            </w:r>
            <w:proofErr w:type="spellStart"/>
            <w:r>
              <w:rPr>
                <w:b/>
                <w:bCs/>
              </w:rPr>
              <w:t>sent</w:t>
            </w:r>
            <w:proofErr w:type="spellEnd"/>
            <w:r>
              <w:rPr>
                <w:b/>
                <w:bCs/>
              </w:rPr>
              <w:t xml:space="preserve">. appello e impone applicazione reato maltrattamenti con pena più </w:t>
            </w:r>
            <w:proofErr w:type="gramStart"/>
            <w:r>
              <w:rPr>
                <w:b/>
                <w:bCs/>
              </w:rPr>
              <w:t>lieve</w:t>
            </w:r>
            <w:proofErr w:type="gramEnd"/>
          </w:p>
        </w:tc>
        <w:tc>
          <w:tcPr>
            <w:tcW w:w="2690" w:type="dxa"/>
          </w:tcPr>
          <w:p w:rsidR="002840AB" w:rsidRDefault="002840AB" w:rsidP="0014783B">
            <w:r>
              <w:t xml:space="preserve">a) </w:t>
            </w:r>
            <w:r w:rsidRPr="0066412E">
              <w:rPr>
                <w:color w:val="3366FF"/>
              </w:rPr>
              <w:t>Dignità</w:t>
            </w:r>
            <w:r>
              <w:t xml:space="preserve"> del bambino, non è violata b</w:t>
            </w:r>
            <w:proofErr w:type="gramStart"/>
            <w:r>
              <w:t>)</w:t>
            </w:r>
            <w:proofErr w:type="gramEnd"/>
            <w:r>
              <w:t xml:space="preserve"> </w:t>
            </w:r>
            <w:r w:rsidRPr="0066412E">
              <w:rPr>
                <w:color w:val="3366FF"/>
              </w:rPr>
              <w:t>Cultura</w:t>
            </w:r>
            <w:r>
              <w:rPr>
                <w:color w:val="3366FF"/>
              </w:rPr>
              <w:t xml:space="preserve"> Rom</w:t>
            </w:r>
            <w:r>
              <w:t>.</w:t>
            </w:r>
          </w:p>
          <w:p w:rsidR="002840AB" w:rsidRDefault="002840AB" w:rsidP="0014783B">
            <w:r>
              <w:t>L’accusa: bisogna difendere i bambini dal racket dell’</w:t>
            </w:r>
            <w:proofErr w:type="gramStart"/>
            <w:r>
              <w:t>accattonaggio</w:t>
            </w:r>
            <w:proofErr w:type="gramEnd"/>
          </w:p>
        </w:tc>
        <w:tc>
          <w:tcPr>
            <w:tcW w:w="2523" w:type="dxa"/>
          </w:tcPr>
          <w:p w:rsidR="002840AB" w:rsidRDefault="002840AB" w:rsidP="0014783B">
            <w:r>
              <w:rPr>
                <w:color w:val="FF0000"/>
              </w:rPr>
              <w:t>Non si configura il reato di riduzione in schiavitù perché non c’è un racket</w:t>
            </w:r>
            <w:r>
              <w:t xml:space="preserve">; il </w:t>
            </w:r>
            <w:proofErr w:type="spellStart"/>
            <w:r>
              <w:t>manghel</w:t>
            </w:r>
            <w:proofErr w:type="spellEnd"/>
            <w:r>
              <w:t xml:space="preserve"> è </w:t>
            </w:r>
            <w:r>
              <w:rPr>
                <w:color w:val="FF0000"/>
              </w:rPr>
              <w:t>c</w:t>
            </w:r>
            <w:r w:rsidRPr="0066412E">
              <w:rPr>
                <w:color w:val="FF0000"/>
              </w:rPr>
              <w:t>ultura</w:t>
            </w:r>
            <w:r>
              <w:rPr>
                <w:color w:val="FF0000"/>
              </w:rPr>
              <w:t xml:space="preserve"> e non posso criminalizzare</w:t>
            </w:r>
            <w:r>
              <w:t xml:space="preserve">, c’è uno </w:t>
            </w:r>
            <w:r w:rsidRPr="00D64707">
              <w:rPr>
                <w:color w:val="FF0000"/>
              </w:rPr>
              <w:t>stato di bisogno</w:t>
            </w:r>
            <w:r>
              <w:t xml:space="preserve"> (ma </w:t>
            </w:r>
            <w:proofErr w:type="gramStart"/>
            <w:r>
              <w:t>questo</w:t>
            </w:r>
            <w:proofErr w:type="gramEnd"/>
            <w:r>
              <w:t xml:space="preserve"> argomento viene appena accennato). L’uso dell’argomento culturale è stato molto criticato dagli stessi Rom. </w:t>
            </w:r>
            <w:proofErr w:type="gramStart"/>
            <w:r>
              <w:t>In effetti</w:t>
            </w:r>
            <w:proofErr w:type="gramEnd"/>
            <w:r>
              <w:t xml:space="preserve"> si mendica un po’ in tutte le realtà sociali. Anche gli italiani mendicano.</w:t>
            </w:r>
          </w:p>
        </w:tc>
        <w:tc>
          <w:tcPr>
            <w:tcW w:w="2474" w:type="dxa"/>
          </w:tcPr>
          <w:p w:rsidR="002840AB" w:rsidRDefault="002840AB" w:rsidP="0014783B">
            <w:r>
              <w:t xml:space="preserve">Gli italiani mendicano meno (?) si rimuove questa pratica. Sicuramente i figli piccoli degli italiani non mendicano più (così come non lavorano più, il lavoro minorile è quasi scomparso). Il mendicare </w:t>
            </w:r>
            <w:proofErr w:type="gramStart"/>
            <w:r>
              <w:t>viene</w:t>
            </w:r>
            <w:proofErr w:type="gramEnd"/>
            <w:r>
              <w:t xml:space="preserve"> stigmatizzato perché compiuto da altri e perché è espressione di un atteggiamento non produttivo. </w:t>
            </w:r>
          </w:p>
        </w:tc>
      </w:tr>
      <w:tr w:rsidR="002840AB" w:rsidTr="0014783B">
        <w:tc>
          <w:tcPr>
            <w:tcW w:w="2167" w:type="dxa"/>
          </w:tcPr>
          <w:p w:rsidR="002840AB" w:rsidRPr="00617263" w:rsidRDefault="002840AB" w:rsidP="0014783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Ordinanze dei sindaci che </w:t>
            </w:r>
            <w:r>
              <w:rPr>
                <w:b/>
                <w:bCs/>
              </w:rPr>
              <w:t xml:space="preserve">dal 2008 al 2011 </w:t>
            </w:r>
            <w:r>
              <w:rPr>
                <w:b/>
                <w:bCs/>
              </w:rPr>
              <w:t xml:space="preserve">a) vietano qualunque forma di accattonaggio b) vietano l’accattonaggio </w:t>
            </w:r>
            <w:proofErr w:type="gramStart"/>
            <w:r>
              <w:rPr>
                <w:b/>
                <w:bCs/>
              </w:rPr>
              <w:t>molesto</w:t>
            </w:r>
            <w:proofErr w:type="gramEnd"/>
          </w:p>
        </w:tc>
        <w:tc>
          <w:tcPr>
            <w:tcW w:w="2690" w:type="dxa"/>
          </w:tcPr>
          <w:p w:rsidR="002840AB" w:rsidRDefault="002840AB" w:rsidP="0014783B">
            <w:r>
              <w:t xml:space="preserve">Nelle motivazioni si legge in genere che l’accattonaggio aumenta il senso </w:t>
            </w:r>
            <w:proofErr w:type="gramStart"/>
            <w:r>
              <w:t xml:space="preserve">di </w:t>
            </w:r>
            <w:proofErr w:type="gramEnd"/>
            <w:r>
              <w:t>insicurezza sociale e viola il decoro urbano.</w:t>
            </w:r>
          </w:p>
        </w:tc>
        <w:tc>
          <w:tcPr>
            <w:tcW w:w="2523" w:type="dxa"/>
          </w:tcPr>
          <w:p w:rsidR="002840AB" w:rsidRPr="00D64707" w:rsidRDefault="002840AB" w:rsidP="0014783B">
            <w:r>
              <w:t xml:space="preserve">Fino alla </w:t>
            </w:r>
            <w:proofErr w:type="spellStart"/>
            <w:r>
              <w:t>sent</w:t>
            </w:r>
            <w:proofErr w:type="spellEnd"/>
            <w:r>
              <w:t>. 115/2011 i giuristi ritenevano le ordinanze a</w:t>
            </w:r>
            <w:proofErr w:type="gramStart"/>
            <w:r>
              <w:t>)</w:t>
            </w:r>
            <w:proofErr w:type="gramEnd"/>
            <w:r>
              <w:t xml:space="preserve"> illegittime perché reintroducevano un comportamento vietato che invece la Corte costituzionale riteneva dal 1995 ammissibile. Sulle ordinanze del gruppo b</w:t>
            </w:r>
            <w:proofErr w:type="gramStart"/>
            <w:r>
              <w:t>)</w:t>
            </w:r>
            <w:proofErr w:type="gramEnd"/>
            <w:r>
              <w:t xml:space="preserve"> invece qualcuno sosteneva che potevano rientrare nel concetto di sicurezza urbana.</w:t>
            </w:r>
          </w:p>
        </w:tc>
        <w:tc>
          <w:tcPr>
            <w:tcW w:w="2474" w:type="dxa"/>
          </w:tcPr>
          <w:p w:rsidR="002840AB" w:rsidRDefault="002840AB" w:rsidP="0014783B">
            <w:r>
              <w:t xml:space="preserve">Le ordinanze appaiono essere rivolte soprattutto </w:t>
            </w:r>
            <w:proofErr w:type="gramStart"/>
            <w:r>
              <w:t>ad</w:t>
            </w:r>
            <w:proofErr w:type="gramEnd"/>
            <w:r>
              <w:t xml:space="preserve"> eliminare l’accattonaggio dei Rom. Valutazione stigmatizzata dello </w:t>
            </w:r>
            <w:r w:rsidRPr="00D64707">
              <w:rPr>
                <w:color w:val="FF0000"/>
              </w:rPr>
              <w:t>straniero</w:t>
            </w:r>
            <w:r>
              <w:t xml:space="preserve">. Il mendicare è spesso associato al diverso, non è più un problema degli italiani. </w:t>
            </w:r>
            <w:proofErr w:type="gramStart"/>
            <w:r>
              <w:t>Ma</w:t>
            </w:r>
            <w:proofErr w:type="gramEnd"/>
            <w:r>
              <w:t xml:space="preserve"> forse c’è anche in generale una stigmatizzazione della </w:t>
            </w:r>
            <w:r w:rsidRPr="00D64707">
              <w:rPr>
                <w:color w:val="FF0000"/>
              </w:rPr>
              <w:t>persona non produttiva</w:t>
            </w:r>
            <w:r>
              <w:t xml:space="preserve">. </w:t>
            </w:r>
          </w:p>
          <w:p w:rsidR="002840AB" w:rsidRDefault="002840AB" w:rsidP="0014783B">
            <w:r>
              <w:t>Per vivere bisogna lavorare.</w:t>
            </w:r>
          </w:p>
          <w:p w:rsidR="002840AB" w:rsidRDefault="002840AB" w:rsidP="0014783B">
            <w:r>
              <w:t>Produttività vs Parassitismo (le classi marginali non sono più “</w:t>
            </w:r>
            <w:proofErr w:type="gramStart"/>
            <w:r>
              <w:t>classi</w:t>
            </w:r>
            <w:proofErr w:type="gramEnd"/>
            <w:r>
              <w:t xml:space="preserve">”, secondo la lettura marxista, ma sono individui dispersi che turbano il decoro urbano). C’è anche una nuova valutazione sociale: mendicare genera una sensazione </w:t>
            </w:r>
            <w:proofErr w:type="gramStart"/>
            <w:r>
              <w:t xml:space="preserve">di </w:t>
            </w:r>
            <w:proofErr w:type="gramEnd"/>
            <w:r w:rsidRPr="00D64707">
              <w:rPr>
                <w:color w:val="FF0000"/>
              </w:rPr>
              <w:t>insicurezza</w:t>
            </w:r>
            <w:r>
              <w:rPr>
                <w:color w:val="FF0000"/>
              </w:rPr>
              <w:t xml:space="preserve"> e turba il decoro</w:t>
            </w:r>
            <w:r>
              <w:t xml:space="preserve">. Dopo </w:t>
            </w:r>
            <w:proofErr w:type="gramStart"/>
            <w:r>
              <w:t>60</w:t>
            </w:r>
            <w:proofErr w:type="gramEnd"/>
            <w:r>
              <w:t xml:space="preserve"> anni di storia costituzionale ritorna il concetto di tranquillità pubblica e decoro?</w:t>
            </w:r>
          </w:p>
          <w:p w:rsidR="002840AB" w:rsidRDefault="002840AB" w:rsidP="0014783B">
            <w:r>
              <w:t xml:space="preserve">E’ scomparsa la lettura marxista del mendicare, così come forse quella di scelta di vita liberatoria. E’ sempre più difficile che ci convinca l’argomento per cui il mendicare è visto come rifiuto della </w:t>
            </w:r>
            <w:proofErr w:type="spellStart"/>
            <w:r>
              <w:t>retributività</w:t>
            </w:r>
            <w:proofErr w:type="spellEnd"/>
            <w:r>
              <w:t xml:space="preserve">, come atto simbolico quale la </w:t>
            </w:r>
            <w:r w:rsidRPr="0066412E">
              <w:rPr>
                <w:color w:val="339966"/>
              </w:rPr>
              <w:t>questua</w:t>
            </w:r>
            <w:r>
              <w:t xml:space="preserve"> praticata nelle grandi religioni, una scelta di vita </w:t>
            </w:r>
            <w:proofErr w:type="gramStart"/>
            <w:r>
              <w:t>estremamente</w:t>
            </w:r>
            <w:proofErr w:type="gramEnd"/>
            <w:r>
              <w:t xml:space="preserve"> relazionale, in cui ci si affida a dio o agli altri per sopravvivere. In questo senso sarebbe una scelta di vita compatibile con le radici cristiane. E’ opportuno o no che </w:t>
            </w:r>
            <w:proofErr w:type="gramStart"/>
            <w:r>
              <w:t>questo</w:t>
            </w:r>
            <w:proofErr w:type="gramEnd"/>
            <w:r>
              <w:t xml:space="preserve"> argomento sopravviva per conservare in noi il dubbio sul significato da dare a questa pratica?</w:t>
            </w:r>
          </w:p>
        </w:tc>
      </w:tr>
    </w:tbl>
    <w:p w:rsidR="002840AB" w:rsidRDefault="002840AB" w:rsidP="002840AB"/>
    <w:p w:rsidR="002840AB" w:rsidRDefault="002840AB" w:rsidP="002840AB"/>
    <w:p w:rsidR="00F75E3A" w:rsidRDefault="00F75E3A"/>
    <w:sectPr w:rsidR="00F75E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AB"/>
    <w:rsid w:val="001E2D4C"/>
    <w:rsid w:val="002840AB"/>
    <w:rsid w:val="00F7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76514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40AB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2840A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Caratterepredefinitoparagrafo"/>
    <w:uiPriority w:val="99"/>
    <w:rsid w:val="002840A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40AB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2840A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Caratterepredefinitoparagrafo"/>
    <w:uiPriority w:val="99"/>
    <w:rsid w:val="00284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1345</Words>
  <Characters>7601</Characters>
  <Application>Microsoft Macintosh Word</Application>
  <DocSecurity>0</DocSecurity>
  <Lines>115</Lines>
  <Paragraphs>24</Paragraphs>
  <ScaleCrop>false</ScaleCrop>
  <Company>Dipartimento Diritto Pubblico</Company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 Ruggiu</dc:creator>
  <cp:keywords/>
  <dc:description/>
  <cp:lastModifiedBy>Ilenia Ruggiu</cp:lastModifiedBy>
  <cp:revision>1</cp:revision>
  <dcterms:created xsi:type="dcterms:W3CDTF">2019-03-14T18:00:00Z</dcterms:created>
  <dcterms:modified xsi:type="dcterms:W3CDTF">2019-03-14T18:02:00Z</dcterms:modified>
</cp:coreProperties>
</file>