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664D8" w14:textId="77777777" w:rsidR="005408D7" w:rsidRDefault="005408D7" w:rsidP="005408D7">
      <w:pPr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NORME per la REDAZIONE di UNA TESI DEI CORSI DI LAUREA TRIENNALE IN LETTERE</w:t>
      </w:r>
    </w:p>
    <w:p w14:paraId="44F7AC61" w14:textId="77777777" w:rsidR="005408D7" w:rsidRDefault="005408D7" w:rsidP="005408D7">
      <w:pPr>
        <w:jc w:val="both"/>
        <w:rPr>
          <w:rFonts w:ascii="Times New Roman" w:hAnsi="Times New Roman"/>
          <w:color w:val="0070C0"/>
        </w:rPr>
      </w:pPr>
    </w:p>
    <w:p w14:paraId="6C9CCD18" w14:textId="77777777" w:rsidR="005408D7" w:rsidRDefault="005408D7" w:rsidP="005408D7">
      <w:pPr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Dal Regolamento CdS Triennale in Lettere</w:t>
      </w:r>
    </w:p>
    <w:p w14:paraId="5674F2FA" w14:textId="77777777" w:rsidR="005408D7" w:rsidRDefault="005408D7" w:rsidP="005408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http://people.unica.it/lettere/files/2012/11/Regolamento-CdL-in-Lettere-L-10-a.a.-2015-16-approvato.pdf:</w:t>
      </w:r>
    </w:p>
    <w:p w14:paraId="5F9A31F7" w14:textId="77777777" w:rsidR="005408D7" w:rsidRDefault="005408D7" w:rsidP="005408D7">
      <w:pPr>
        <w:jc w:val="both"/>
        <w:rPr>
          <w:rFonts w:ascii="Times New Roman" w:hAnsi="Times New Roman"/>
        </w:rPr>
      </w:pPr>
    </w:p>
    <w:p w14:paraId="397BC612" w14:textId="77777777" w:rsidR="005408D7" w:rsidRDefault="005408D7" w:rsidP="005408D7">
      <w:pPr>
        <w:pStyle w:val="NormaleWeb"/>
        <w:spacing w:before="0" w:beforeAutospacing="0" w:after="0" w:afterAutospacing="0" w:line="360" w:lineRule="auto"/>
        <w:jc w:val="both"/>
        <w:rPr>
          <w:color w:val="0070C0"/>
        </w:rPr>
      </w:pPr>
      <w:r>
        <w:rPr>
          <w:color w:val="0070C0"/>
        </w:rPr>
        <w:t>COERENZA del PERCORSO DI STUDI</w:t>
      </w:r>
    </w:p>
    <w:p w14:paraId="5C6A653F" w14:textId="77777777" w:rsidR="005408D7" w:rsidRDefault="005408D7" w:rsidP="005408D7">
      <w:pPr>
        <w:pStyle w:val="NormaleWeb"/>
        <w:spacing w:before="0" w:beforeAutospacing="0" w:after="0" w:afterAutospacing="0"/>
        <w:jc w:val="both"/>
        <w:rPr>
          <w:color w:val="FF0000"/>
        </w:rPr>
      </w:pPr>
      <w:r>
        <w:rPr>
          <w:color w:val="0070C0"/>
        </w:rPr>
        <w:t xml:space="preserve">dall'art. 5. </w:t>
      </w:r>
      <w:r>
        <w:rPr>
          <w:color w:val="FF0000"/>
        </w:rPr>
        <w:t xml:space="preserve"> </w:t>
      </w:r>
    </w:p>
    <w:p w14:paraId="78BB1160" w14:textId="77777777" w:rsidR="005408D7" w:rsidRDefault="005408D7" w:rsidP="005408D7">
      <w:pPr>
        <w:pStyle w:val="NormaleWeb"/>
        <w:spacing w:before="0" w:beforeAutospacing="0" w:after="0" w:afterAutospacing="0"/>
        <w:jc w:val="both"/>
      </w:pPr>
      <w:r>
        <w:rPr>
          <w:rFonts w:ascii="Times New Roman (Vietnamese)" w:hAnsi="Times New Roman (Vietnamese)" w:cs="Times New Roman (Vietnamese)"/>
        </w:rPr>
        <w:t xml:space="preserve"> [...] “la preparazione della prova finale e le attività a scelta dello studente</w:t>
      </w:r>
      <w:r>
        <w:t xml:space="preserve"> &lt;devono essere&gt; coerenti con il progetto formativo.” </w:t>
      </w:r>
    </w:p>
    <w:p w14:paraId="3B969ADE" w14:textId="77777777" w:rsidR="005408D7" w:rsidRDefault="005408D7" w:rsidP="005408D7">
      <w:pPr>
        <w:pStyle w:val="NormaleWeb"/>
        <w:spacing w:before="0" w:beforeAutospacing="0" w:after="0" w:afterAutospacing="0"/>
        <w:jc w:val="both"/>
      </w:pPr>
      <w:r>
        <w:t xml:space="preserve">[...] Con “la prova finale” si acquisiscono </w:t>
      </w:r>
      <w:r>
        <w:rPr>
          <w:color w:val="0070C0"/>
        </w:rPr>
        <w:t xml:space="preserve">9 CFU </w:t>
      </w:r>
      <w:r>
        <w:t xml:space="preserve">“al momento della laurea”. </w:t>
      </w:r>
    </w:p>
    <w:p w14:paraId="1BC00E64" w14:textId="77777777" w:rsidR="005408D7" w:rsidRDefault="005408D7" w:rsidP="005408D7">
      <w:pPr>
        <w:pStyle w:val="NormaleWeb"/>
        <w:spacing w:before="0" w:beforeAutospacing="0" w:after="0" w:afterAutospacing="0"/>
        <w:jc w:val="both"/>
        <w:rPr>
          <w:color w:val="FF0000"/>
        </w:rPr>
      </w:pPr>
      <w:r>
        <w:rPr>
          <w:color w:val="0070C0"/>
        </w:rPr>
        <w:t>dall'art. 8</w:t>
      </w:r>
      <w:r>
        <w:rPr>
          <w:color w:val="FF0000"/>
        </w:rPr>
        <w:t>.</w:t>
      </w:r>
    </w:p>
    <w:p w14:paraId="31F4E0B4" w14:textId="77777777" w:rsidR="005408D7" w:rsidRDefault="005408D7" w:rsidP="005408D7">
      <w:pPr>
        <w:pStyle w:val="NormaleWeb"/>
        <w:spacing w:before="0" w:beforeAutospacing="0" w:after="0" w:afterAutospacing="0"/>
        <w:jc w:val="both"/>
      </w:pPr>
      <w:r>
        <w:t xml:space="preserve">p. "[...]  si raccomanda di concordare il piano di studi con il docente relatore dell’elaborato scritto finale/tesi di laurea." </w:t>
      </w:r>
    </w:p>
    <w:p w14:paraId="1A5D3315" w14:textId="77777777" w:rsidR="005408D7" w:rsidRDefault="005408D7" w:rsidP="005408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max.</w:t>
      </w:r>
    </w:p>
    <w:p w14:paraId="047D705E" w14:textId="77777777" w:rsidR="005408D7" w:rsidRDefault="005408D7" w:rsidP="005408D7">
      <w:pPr>
        <w:pStyle w:val="NormaleWeb"/>
        <w:spacing w:before="0" w:beforeAutospacing="0" w:after="0" w:afterAutospacing="0" w:line="360" w:lineRule="auto"/>
        <w:jc w:val="both"/>
      </w:pPr>
    </w:p>
    <w:p w14:paraId="5B4C816A" w14:textId="77777777" w:rsidR="005408D7" w:rsidRDefault="005408D7" w:rsidP="005408D7">
      <w:pPr>
        <w:pStyle w:val="NormaleWeb"/>
        <w:spacing w:before="0" w:beforeAutospacing="0" w:after="0" w:afterAutospacing="0" w:line="360" w:lineRule="auto"/>
        <w:jc w:val="both"/>
        <w:rPr>
          <w:color w:val="0070C0"/>
        </w:rPr>
      </w:pPr>
      <w:r>
        <w:rPr>
          <w:color w:val="0070C0"/>
        </w:rPr>
        <w:t>OBIETTIVO della PROVA FINALE (dall'art. 12)</w:t>
      </w:r>
    </w:p>
    <w:p w14:paraId="210DB359" w14:textId="77777777" w:rsidR="005408D7" w:rsidRDefault="005408D7" w:rsidP="005408D7">
      <w:pPr>
        <w:pStyle w:val="NormaleWeb"/>
        <w:spacing w:before="0" w:beforeAutospacing="0" w:after="0" w:afterAutospacing="0"/>
        <w:jc w:val="both"/>
      </w:pPr>
      <w:r>
        <w:rPr>
          <w:rFonts w:ascii="Times New Roman (Vietnamese)" w:hAnsi="Times New Roman (Vietnamese)" w:cs="Times New Roman (Vietnamese)"/>
        </w:rPr>
        <w:t>La prova finale per il conseguimento della laurea di primo livello (triennale) consisterà nella discussione di una dissertazione scritta, su un argomento a scelta da concordare con uno d</w:t>
      </w:r>
      <w:r>
        <w:t xml:space="preserve">ei docenti del CdL. [...] </w:t>
      </w:r>
    </w:p>
    <w:p w14:paraId="25A63021" w14:textId="77777777" w:rsidR="005408D7" w:rsidRDefault="005408D7" w:rsidP="005408D7">
      <w:pPr>
        <w:pStyle w:val="NormaleWeb"/>
        <w:spacing w:before="0" w:beforeAutospacing="0" w:after="0" w:afterAutospacing="0"/>
        <w:jc w:val="both"/>
      </w:pPr>
      <w:r>
        <w:t>All’elaborazione della prova finale deve corrispondere un carico di lavoro congruo al numero di CFU previsto nel Regolamento didattico del Corso di laurea.</w:t>
      </w:r>
    </w:p>
    <w:p w14:paraId="739130CF" w14:textId="77777777" w:rsidR="005408D7" w:rsidRDefault="005408D7" w:rsidP="005408D7">
      <w:pPr>
        <w:pStyle w:val="NormaleWeb"/>
        <w:spacing w:before="0" w:beforeAutospacing="0" w:after="0" w:afterAutospacing="0" w:line="360" w:lineRule="auto"/>
        <w:jc w:val="both"/>
      </w:pPr>
    </w:p>
    <w:p w14:paraId="240A78B3" w14:textId="77777777" w:rsidR="005408D7" w:rsidRDefault="005408D7" w:rsidP="005408D7">
      <w:pPr>
        <w:pStyle w:val="NormaleWeb"/>
        <w:spacing w:before="0" w:beforeAutospacing="0" w:after="0" w:afterAutospacing="0" w:line="360" w:lineRule="auto"/>
        <w:jc w:val="both"/>
        <w:rPr>
          <w:color w:val="0070C0"/>
        </w:rPr>
      </w:pPr>
      <w:r>
        <w:rPr>
          <w:color w:val="0070C0"/>
        </w:rPr>
        <w:t>CARATTERISTICHE TECNICHE DELL'ELABORATO SCRITTO PER LA PROVA FINALE (dall'art. 12)</w:t>
      </w:r>
    </w:p>
    <w:p w14:paraId="40C53C7A" w14:textId="77777777" w:rsidR="005408D7" w:rsidRDefault="005408D7" w:rsidP="005408D7">
      <w:pPr>
        <w:pStyle w:val="NormaleWeb"/>
        <w:spacing w:before="0" w:beforeAutospacing="0" w:after="0" w:afterAutospacing="0" w:line="360" w:lineRule="auto"/>
        <w:jc w:val="both"/>
        <w:rPr>
          <w:color w:val="0070C0"/>
        </w:rPr>
      </w:pPr>
      <w:r>
        <w:rPr>
          <w:color w:val="0070C0"/>
        </w:rPr>
        <w:t>LINGUA USATA</w:t>
      </w:r>
    </w:p>
    <w:p w14:paraId="69ADD8CD" w14:textId="77777777" w:rsidR="005408D7" w:rsidRDefault="005408D7" w:rsidP="005408D7">
      <w:pPr>
        <w:pStyle w:val="NormaleWeb"/>
        <w:spacing w:before="0" w:beforeAutospacing="0" w:after="0" w:afterAutospacing="0" w:line="360" w:lineRule="auto"/>
        <w:jc w:val="both"/>
      </w:pPr>
      <w:r>
        <w:rPr>
          <w:rFonts w:ascii="Times New Roman (Vietnamese)" w:hAnsi="Times New Roman (Vietnamese)" w:cs="Times New Roman (Vietnamese)"/>
        </w:rPr>
        <w:t xml:space="preserve">La prova finale potrà essere scritta in lingua diversa dall’italiano, ma in tal caso corredata da un riassunto in italiano. </w:t>
      </w:r>
    </w:p>
    <w:p w14:paraId="4D63316C" w14:textId="77777777" w:rsidR="005408D7" w:rsidRDefault="005408D7" w:rsidP="005408D7">
      <w:pPr>
        <w:pStyle w:val="NormaleWeb"/>
        <w:spacing w:before="0" w:beforeAutospacing="0" w:after="0" w:afterAutospacing="0" w:line="360" w:lineRule="auto"/>
        <w:jc w:val="both"/>
        <w:rPr>
          <w:color w:val="0070C0"/>
        </w:rPr>
      </w:pPr>
      <w:r>
        <w:rPr>
          <w:color w:val="0070C0"/>
        </w:rPr>
        <w:t>ESTENSIONE</w:t>
      </w:r>
    </w:p>
    <w:p w14:paraId="716BED39" w14:textId="77777777" w:rsidR="005408D7" w:rsidRDefault="005408D7" w:rsidP="005408D7">
      <w:pPr>
        <w:pStyle w:val="NormaleWeb"/>
        <w:spacing w:before="0" w:beforeAutospacing="0" w:after="0" w:afterAutospacing="0" w:line="360" w:lineRule="auto"/>
        <w:jc w:val="both"/>
      </w:pPr>
      <w:r>
        <w:rPr>
          <w:rFonts w:ascii="Times New Roman (Vietnamese)" w:hAnsi="Times New Roman (Vietnamese)" w:cs="Times New Roman (Vietnamese)"/>
        </w:rPr>
        <w:t>Il testo avrà uno sviluppo preferibilmente compreso fra le 40 e le 60 cartelle di 2000 battute</w:t>
      </w:r>
      <w:r>
        <w:t xml:space="preserve"> spazi inclusi. </w:t>
      </w:r>
    </w:p>
    <w:p w14:paraId="5478A09D" w14:textId="77777777" w:rsidR="005408D7" w:rsidRDefault="005408D7" w:rsidP="005408D7">
      <w:pPr>
        <w:pStyle w:val="NormaleWeb"/>
        <w:spacing w:before="0" w:beforeAutospacing="0" w:after="0" w:afterAutospacing="0" w:line="360" w:lineRule="auto"/>
        <w:jc w:val="both"/>
        <w:rPr>
          <w:color w:val="0070C0"/>
        </w:rPr>
      </w:pPr>
      <w:r>
        <w:rPr>
          <w:color w:val="0070C0"/>
        </w:rPr>
        <w:t>LAYOUT TESTO</w:t>
      </w:r>
    </w:p>
    <w:p w14:paraId="32B67915" w14:textId="77777777" w:rsidR="005408D7" w:rsidRDefault="005408D7" w:rsidP="005408D7">
      <w:pPr>
        <w:pStyle w:val="NormaleWeb"/>
        <w:spacing w:before="0" w:beforeAutospacing="0" w:after="0" w:afterAutospacing="0" w:line="360" w:lineRule="auto"/>
        <w:jc w:val="both"/>
      </w:pPr>
      <w:r>
        <w:rPr>
          <w:rFonts w:ascii="Times New Roman (Vietnamese)" w:hAnsi="Times New Roman (Vietnamese)" w:cs="Times New Roman (Vietnamese)"/>
        </w:rPr>
        <w:t xml:space="preserve">L’impostazione dei margini è preferibilmente di 4 cm a sinistra (per consentire la rilegatura) e di 3 cm lungo gli altri lati del foglio. </w:t>
      </w:r>
    </w:p>
    <w:p w14:paraId="1D4FF080" w14:textId="77777777" w:rsidR="005408D7" w:rsidRDefault="005408D7" w:rsidP="005408D7">
      <w:pPr>
        <w:pStyle w:val="NormaleWeb"/>
        <w:spacing w:before="0" w:beforeAutospacing="0" w:after="0" w:afterAutospacing="0" w:line="360" w:lineRule="auto"/>
        <w:jc w:val="both"/>
      </w:pPr>
      <w:r>
        <w:rPr>
          <w:rFonts w:ascii="Times New Roman (Vietnamese)" w:hAnsi="Times New Roman (Vietnamese)" w:cs="Times New Roman (Vietnamese)"/>
        </w:rPr>
        <w:t xml:space="preserve">Preferibilmente, il carattere da utilizzare è il Times New Roman; il corpo 12 punti; l’interlinea 1,5; il testo giustificato. Si consiglia di utilizzare preferibilmente lo stile normale. </w:t>
      </w:r>
    </w:p>
    <w:p w14:paraId="1ECA181F" w14:textId="77777777" w:rsidR="005408D7" w:rsidRDefault="005408D7" w:rsidP="005408D7">
      <w:pPr>
        <w:pStyle w:val="NormaleWeb"/>
        <w:spacing w:before="0" w:beforeAutospacing="0" w:after="0" w:afterAutospacing="0" w:line="360" w:lineRule="auto"/>
        <w:jc w:val="both"/>
      </w:pPr>
      <w:r>
        <w:t xml:space="preserve">Le citazioni di parole in lingue diverse dall’italiano andranno in corsivo. </w:t>
      </w:r>
    </w:p>
    <w:p w14:paraId="4A0C2AE3" w14:textId="77777777" w:rsidR="005408D7" w:rsidRDefault="005408D7" w:rsidP="005408D7">
      <w:pPr>
        <w:pStyle w:val="NormaleWeb"/>
        <w:spacing w:before="0" w:beforeAutospacing="0" w:after="0" w:afterAutospacing="0" w:line="360" w:lineRule="auto"/>
        <w:jc w:val="both"/>
      </w:pPr>
      <w:r>
        <w:rPr>
          <w:rFonts w:ascii="Times New Roman (Vietnamese)" w:hAnsi="Times New Roman (Vietnamese)" w:cs="Times New Roman (Vietnamese)"/>
        </w:rPr>
        <w:t>Le note dovranno essere collocate a piè di pagina.</w:t>
      </w:r>
    </w:p>
    <w:p w14:paraId="4FD62732" w14:textId="77777777" w:rsidR="005408D7" w:rsidRDefault="005408D7" w:rsidP="005408D7">
      <w:pPr>
        <w:pStyle w:val="NormaleWeb"/>
        <w:spacing w:before="0" w:beforeAutospacing="0" w:after="0" w:afterAutospacing="0" w:line="360" w:lineRule="auto"/>
        <w:jc w:val="both"/>
      </w:pPr>
      <w:r>
        <w:rPr>
          <w:rFonts w:ascii="Times New Roman (Vietnamese)" w:hAnsi="Times New Roman (Vietnamese)" w:cs="Times New Roman (Vietnamese)"/>
        </w:rPr>
        <w:t xml:space="preserve">L’indice (da collocare all’inizio dello scritto) riporterà l’elenco dei capitoli e dei paragrafi, con bibliografia e/o sitografia alla fine. Quando previste, le immagini potranno essere inserite sia nel testo, sia alla fine dello stesso, in ogni caso numerate e corredate da didascalia con il riferimento alla fonte </w:t>
      </w:r>
      <w:r>
        <w:rPr>
          <w:rFonts w:ascii="Times New Roman (Vietnamese)" w:hAnsi="Times New Roman (Vietnamese)" w:cs="Times New Roman (Vietnamese)"/>
        </w:rPr>
        <w:lastRenderedPageBreak/>
        <w:t xml:space="preserve">di provenienza (foto originale o estrapolata da libri o da siti Internet). Lo scritto dovrà essere stampato fronte-retro. </w:t>
      </w:r>
    </w:p>
    <w:p w14:paraId="65AA961C" w14:textId="77777777" w:rsidR="005408D7" w:rsidRDefault="005408D7" w:rsidP="005408D7">
      <w:pPr>
        <w:jc w:val="both"/>
        <w:rPr>
          <w:rFonts w:ascii="Times New Roman" w:eastAsia="Arial Unicode MS" w:hAnsi="Times New Roman"/>
          <w:sz w:val="20"/>
          <w:szCs w:val="20"/>
        </w:rPr>
      </w:pPr>
    </w:p>
    <w:p w14:paraId="5C4D8E0E" w14:textId="77777777" w:rsidR="005408D7" w:rsidRDefault="005408D7" w:rsidP="005408D7">
      <w:pPr>
        <w:jc w:val="center"/>
        <w:rPr>
          <w:rFonts w:ascii="Times New Roman" w:eastAsia="Arial Unicode MS" w:hAnsi="Times New Roman"/>
          <w:sz w:val="20"/>
          <w:szCs w:val="20"/>
        </w:rPr>
      </w:pPr>
      <w:r>
        <w:rPr>
          <w:rFonts w:ascii="Times New Roman" w:eastAsia="Arial Unicode MS" w:hAnsi="Times New Roman" w:hint="eastAsia"/>
          <w:sz w:val="20"/>
          <w:szCs w:val="20"/>
        </w:rPr>
        <w:t>------------------------------------------------------------------------------------------------------------------------------------</w:t>
      </w:r>
    </w:p>
    <w:p w14:paraId="264F9FC8" w14:textId="77777777" w:rsidR="005408D7" w:rsidRDefault="005408D7" w:rsidP="005408D7">
      <w:pPr>
        <w:jc w:val="both"/>
        <w:rPr>
          <w:rFonts w:ascii="Times New Roman" w:eastAsia="Arial Unicode MS" w:hAnsi="Times New Roman"/>
          <w:sz w:val="20"/>
          <w:szCs w:val="20"/>
        </w:rPr>
      </w:pPr>
    </w:p>
    <w:p w14:paraId="57B17653" w14:textId="77777777" w:rsidR="005408D7" w:rsidRDefault="005408D7" w:rsidP="005408D7">
      <w:pPr>
        <w:jc w:val="both"/>
        <w:rPr>
          <w:rFonts w:ascii="Times New Roman" w:eastAsia="Arial Unicode MS" w:hAnsi="Times New Roman"/>
          <w:sz w:val="20"/>
          <w:szCs w:val="20"/>
        </w:rPr>
      </w:pPr>
    </w:p>
    <w:p w14:paraId="4E15309C" w14:textId="77777777" w:rsidR="005408D7" w:rsidRDefault="005408D7" w:rsidP="005408D7">
      <w:pPr>
        <w:jc w:val="both"/>
        <w:rPr>
          <w:rFonts w:ascii="Times New Roman" w:hAnsi="Times New Roman"/>
          <w:color w:val="00B050"/>
        </w:rPr>
      </w:pPr>
      <w:r>
        <w:rPr>
          <w:rFonts w:ascii="Times New Roman" w:hAnsi="Times New Roman"/>
          <w:color w:val="FF0000"/>
        </w:rPr>
        <w:t xml:space="preserve"> </w:t>
      </w:r>
    </w:p>
    <w:p w14:paraId="1DF69E13" w14:textId="77777777" w:rsidR="005408D7" w:rsidRDefault="005408D7" w:rsidP="005408D7">
      <w:pPr>
        <w:jc w:val="both"/>
        <w:rPr>
          <w:color w:val="FF0000"/>
          <w:sz w:val="28"/>
        </w:rPr>
      </w:pPr>
      <w:r>
        <w:rPr>
          <w:color w:val="FF0000"/>
          <w:sz w:val="28"/>
        </w:rPr>
        <w:t xml:space="preserve">ALTRE INDICAZIONI UTILI </w:t>
      </w:r>
    </w:p>
    <w:p w14:paraId="191B0ABC" w14:textId="77777777" w:rsidR="005408D7" w:rsidRDefault="005408D7" w:rsidP="005408D7">
      <w:pPr>
        <w:jc w:val="both"/>
        <w:rPr>
          <w:rFonts w:ascii="Times New Roman" w:hAnsi="Times New Roman"/>
        </w:rPr>
      </w:pPr>
    </w:p>
    <w:p w14:paraId="3D777AE1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LAYOUT TESTO</w:t>
      </w:r>
    </w:p>
    <w:p w14:paraId="2BB1E680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 consiglia per il testo e per le note l'indentazione di 1 cm. ossia un rientro per l'inizio di paragrafo pari a 1 cm.</w:t>
      </w:r>
    </w:p>
    <w:p w14:paraId="62E49164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LAYOUT NOTE</w:t>
      </w:r>
    </w:p>
    <w:p w14:paraId="75AAA1CF" w14:textId="77777777" w:rsidR="005408D7" w:rsidRDefault="005408D7" w:rsidP="005408D7">
      <w:pPr>
        <w:pStyle w:val="NormaleWeb"/>
        <w:spacing w:before="0" w:beforeAutospacing="0" w:after="0" w:afterAutospacing="0" w:line="360" w:lineRule="auto"/>
        <w:jc w:val="both"/>
      </w:pPr>
      <w:r>
        <w:rPr>
          <w:rFonts w:ascii="Times New Roman (Vietnamese)" w:hAnsi="Times New Roman (Vietnamese)" w:cs="Times New Roman (Vietnamese)"/>
        </w:rPr>
        <w:t xml:space="preserve">Preferibilmente, il carattere da utilizzare è il Times New Roman; il corpo 10 punti; l’interlinea 1; il testo giustificato con indentazione di 1 cm. Si consiglia di utilizzare preferibilmente lo stile normale. </w:t>
      </w:r>
    </w:p>
    <w:p w14:paraId="2E0E8566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RIMANDO IN TESTO ALLE NOTE</w:t>
      </w:r>
    </w:p>
    <w:p w14:paraId="7E2075FD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Apporre un numerino arabo in apice (che precede immediatamente l'eventuale segno di interpunzione) </w:t>
      </w:r>
    </w:p>
    <w:p w14:paraId="3E5B663E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  <w:color w:val="00B0F0"/>
        </w:rPr>
      </w:pPr>
      <w:r>
        <w:rPr>
          <w:rFonts w:ascii="Times New Roman" w:hAnsi="Times New Roman"/>
        </w:rPr>
        <w:t xml:space="preserve">es: </w:t>
      </w:r>
      <w:r>
        <w:rPr>
          <w:rFonts w:ascii="Times New Roman" w:hAnsi="Times New Roman"/>
          <w:color w:val="00B0F0"/>
        </w:rPr>
        <w:t xml:space="preserve">Una simile interpretazione è condivisa da numerosi studiosi a partire dal </w:t>
      </w:r>
      <w:r>
        <w:rPr>
          <w:rFonts w:ascii="Times New Roman" w:hAnsi="Times New Roman"/>
          <w:color w:val="FF0000"/>
        </w:rPr>
        <w:t>1973</w:t>
      </w:r>
      <w:r>
        <w:rPr>
          <w:rStyle w:val="Rimandonotaapidipagina"/>
          <w:color w:val="FF0000"/>
        </w:rPr>
        <w:footnoteReference w:id="1"/>
      </w:r>
      <w:r>
        <w:rPr>
          <w:rFonts w:ascii="Times New Roman" w:hAnsi="Times New Roman"/>
          <w:color w:val="FF0000"/>
        </w:rPr>
        <w:t>,</w:t>
      </w:r>
      <w:r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color w:val="00B0F0"/>
        </w:rPr>
        <w:t>poiché  tutti segnalano che...</w:t>
      </w:r>
    </w:p>
    <w:p w14:paraId="536E31C3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LAYOUT LISTA BIBLIOGRAFICA</w:t>
      </w:r>
    </w:p>
    <w:p w14:paraId="4577EC7E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 consiglia di usare corpo 12 punti, interlinea 1 ma 6 pt dopo ogni paragrafo-entrata bibliografica (vedi sotto esemplificazione).</w:t>
      </w:r>
    </w:p>
    <w:p w14:paraId="24B871C5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Nella lista della letteratura secondaria si consiglia di usare un'indentazione sufficiente a mantenere perspicuo il nome dell'autore e facilitarne la ricerca. Nell'eventuale lista delle fonti primarie distinguere la sigla/abbreviazione (di seguito sciolta tra parentesi quadre) dall'entrata bibliografica che deve essere incolonnata con tutte le altre (vedi sotto esemplificazione). </w:t>
      </w:r>
    </w:p>
    <w:p w14:paraId="52F15DCB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  <w:color w:val="00B0F0"/>
        </w:rPr>
      </w:pPr>
    </w:p>
    <w:p w14:paraId="10A81CAD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INDICE GENERALE DELLA TESI</w:t>
      </w:r>
    </w:p>
    <w:p w14:paraId="1C60C9DA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es.:</w:t>
      </w:r>
    </w:p>
    <w:p w14:paraId="482C8217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cap. 1 Introduzione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p. 1</w:t>
      </w:r>
    </w:p>
    <w:p w14:paraId="6E879AA6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cap. 2 I primi studi inerenti...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p. 12</w:t>
      </w:r>
    </w:p>
    <w:p w14:paraId="6344BA87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</w:rPr>
      </w:pPr>
    </w:p>
    <w:p w14:paraId="5EB4C05B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EVENTUALI ALTRI INDICI:</w:t>
      </w:r>
    </w:p>
    <w:p w14:paraId="574451CD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Index Locorum</w:t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</w:p>
    <w:p w14:paraId="73031124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Indice dei termini tecnici</w:t>
      </w:r>
    </w:p>
    <w:p w14:paraId="57B592F4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Indice dei termini notevoli</w:t>
      </w:r>
    </w:p>
    <w:p w14:paraId="6BD384A9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Indice delle opere citate</w:t>
      </w:r>
    </w:p>
    <w:p w14:paraId="2C95486C" w14:textId="77777777" w:rsidR="005408D7" w:rsidRDefault="005408D7" w:rsidP="005408D7">
      <w:pPr>
        <w:jc w:val="both"/>
        <w:rPr>
          <w:rFonts w:ascii="Times New Roman" w:hAnsi="Times New Roman"/>
        </w:rPr>
      </w:pPr>
    </w:p>
    <w:p w14:paraId="760828FA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SISTEMA DI CITAZIONE BIBLIOGRAFICA</w:t>
      </w:r>
    </w:p>
    <w:p w14:paraId="3219058B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</w:rPr>
      </w:pPr>
    </w:p>
    <w:p w14:paraId="04F66FC1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bibliografia dovrà consistere preferibilmente nella lista dei soli “Riferimenti Bibliografici” ovvero delle fonti primarie e secondarie effettivamente citate nella tesi. </w:t>
      </w:r>
    </w:p>
    <w:p w14:paraId="7D29F2CF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Nel caso di edizioni diverse dalla prima di uno stesso testo, si segni in apice a destra dell'anno di pubblicazione il numero dell'edizione (es. </w:t>
      </w:r>
      <w:r>
        <w:rPr>
          <w:rFonts w:ascii="Times New Roman" w:hAnsi="Times New Roman"/>
          <w:color w:val="FF0000"/>
        </w:rPr>
        <w:t>Renou 1978</w:t>
      </w:r>
      <w:r>
        <w:rPr>
          <w:rFonts w:ascii="Times New Roman" w:hAnsi="Times New Roman"/>
          <w:color w:val="FF0000"/>
          <w:vertAlign w:val="superscript"/>
        </w:rPr>
        <w:t>2</w:t>
      </w:r>
      <w:r>
        <w:rPr>
          <w:rFonts w:ascii="Times New Roman" w:hAnsi="Times New Roman"/>
        </w:rPr>
        <w:t>).</w:t>
      </w:r>
    </w:p>
    <w:p w14:paraId="4D54FC24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i dividerà la lista dei “Riferimenti bibliografici” in due sezioni, rispettivamente “Fonti Primarie” e “Fonti Secondarie”</w:t>
      </w:r>
    </w:p>
    <w:p w14:paraId="5059BE2E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  <w:color w:val="00B0F0"/>
        </w:rPr>
      </w:pPr>
    </w:p>
    <w:p w14:paraId="1DE1C108" w14:textId="77777777" w:rsidR="005408D7" w:rsidRDefault="005408D7" w:rsidP="005408D7">
      <w:pPr>
        <w:pStyle w:val="Normale1"/>
        <w:widowControl w:val="0"/>
        <w:autoSpaceDE w:val="0"/>
        <w:autoSpaceDN w:val="0"/>
        <w:adjustRightInd w:val="0"/>
        <w:spacing w:after="120"/>
        <w:jc w:val="both"/>
      </w:pPr>
      <w:r>
        <w:t xml:space="preserve">es. “Fonti Primarie”: </w:t>
      </w:r>
    </w:p>
    <w:p w14:paraId="78B70CF8" w14:textId="77777777" w:rsidR="005408D7" w:rsidRDefault="005408D7" w:rsidP="005408D7">
      <w:pPr>
        <w:pStyle w:val="Normale1"/>
        <w:widowControl w:val="0"/>
        <w:autoSpaceDE w:val="0"/>
        <w:autoSpaceDN w:val="0"/>
        <w:adjustRightInd w:val="0"/>
        <w:spacing w:after="120"/>
        <w:jc w:val="both"/>
        <w:rPr>
          <w:rFonts w:eastAsia="Arial Unicode MS"/>
          <w:color w:val="00B0F0"/>
        </w:rPr>
      </w:pPr>
      <w:r>
        <w:rPr>
          <w:rFonts w:eastAsia="Arial Unicode MS"/>
          <w:color w:val="00B0F0"/>
          <w:lang w:eastAsia="ja-JP"/>
        </w:rPr>
        <w:t xml:space="preserve">MDhŚ </w:t>
      </w:r>
      <w:r>
        <w:rPr>
          <w:rFonts w:eastAsia="Arial Unicode MS"/>
          <w:color w:val="00B0F0"/>
          <w:lang w:eastAsia="ja-JP"/>
        </w:rPr>
        <w:tab/>
        <w:t>[</w:t>
      </w:r>
      <w:r>
        <w:rPr>
          <w:rFonts w:eastAsia="Arial Unicode MS"/>
          <w:i/>
          <w:color w:val="00B0F0"/>
          <w:lang w:eastAsia="ja-JP"/>
        </w:rPr>
        <w:t>Mānava-Dharmaśāstra</w:t>
      </w:r>
      <w:r>
        <w:rPr>
          <w:rFonts w:eastAsia="Arial Unicode MS"/>
          <w:color w:val="00B0F0"/>
          <w:lang w:eastAsia="ja-JP"/>
        </w:rPr>
        <w:t>]</w:t>
      </w:r>
      <w:r>
        <w:rPr>
          <w:rFonts w:eastAsia="Arial Unicode MS"/>
          <w:i/>
          <w:color w:val="00B0F0"/>
          <w:lang w:eastAsia="ja-JP"/>
        </w:rPr>
        <w:t xml:space="preserve"> </w:t>
      </w:r>
      <w:r>
        <w:rPr>
          <w:rFonts w:eastAsia="Arial Unicode MS"/>
          <w:i/>
          <w:color w:val="00B0F0"/>
          <w:lang w:eastAsia="ja-JP"/>
        </w:rPr>
        <w:tab/>
      </w:r>
      <w:r>
        <w:rPr>
          <w:rFonts w:eastAsia="Arial Unicode MS"/>
          <w:color w:val="00B0F0"/>
          <w:lang w:eastAsia="ja-JP"/>
        </w:rPr>
        <w:t xml:space="preserve">Vedi </w:t>
      </w:r>
      <w:r>
        <w:rPr>
          <w:rFonts w:eastAsia="Arial Unicode MS"/>
          <w:color w:val="00B0F0"/>
        </w:rPr>
        <w:t>Olivelle 2005.</w:t>
      </w:r>
    </w:p>
    <w:p w14:paraId="217987B9" w14:textId="77777777" w:rsidR="005408D7" w:rsidRDefault="005408D7" w:rsidP="005408D7">
      <w:pPr>
        <w:pStyle w:val="Normale1"/>
        <w:spacing w:after="120"/>
        <w:ind w:hanging="567"/>
        <w:jc w:val="both"/>
        <w:rPr>
          <w:rFonts w:eastAsia="Arial Unicode MS"/>
          <w:color w:val="00B0F0"/>
          <w:lang w:eastAsia="ja-JP"/>
        </w:rPr>
      </w:pPr>
      <w:r>
        <w:rPr>
          <w:rFonts w:eastAsia="Arial Unicode MS"/>
          <w:color w:val="00B0F0"/>
          <w:lang w:eastAsia="ja-JP"/>
        </w:rPr>
        <w:tab/>
      </w:r>
      <w:r>
        <w:rPr>
          <w:rFonts w:eastAsia="Arial Unicode MS"/>
          <w:color w:val="00B0F0"/>
          <w:lang w:val="en-GB" w:eastAsia="ja-JP"/>
        </w:rPr>
        <w:t>ṚV [</w:t>
      </w:r>
      <w:r>
        <w:rPr>
          <w:rFonts w:eastAsia="Arial Unicode MS"/>
          <w:i/>
          <w:color w:val="00B0F0"/>
          <w:lang w:val="en-GB" w:eastAsia="ja-JP"/>
        </w:rPr>
        <w:t>Ṛgveda</w:t>
      </w:r>
      <w:r>
        <w:rPr>
          <w:rFonts w:eastAsia="Arial Unicode MS"/>
          <w:color w:val="00B0F0"/>
          <w:lang w:val="en-GB" w:eastAsia="ja-JP"/>
        </w:rPr>
        <w:t>]</w:t>
      </w:r>
      <w:r>
        <w:rPr>
          <w:rFonts w:eastAsia="Arial Unicode MS"/>
          <w:i/>
          <w:color w:val="00B0F0"/>
          <w:lang w:val="en-GB" w:eastAsia="ja-JP"/>
        </w:rPr>
        <w:t xml:space="preserve"> </w:t>
      </w:r>
      <w:r>
        <w:rPr>
          <w:rFonts w:eastAsia="Arial Unicode MS"/>
          <w:i/>
          <w:color w:val="00B0F0"/>
          <w:lang w:val="en-GB" w:eastAsia="ja-JP"/>
        </w:rPr>
        <w:tab/>
      </w:r>
      <w:r>
        <w:rPr>
          <w:rFonts w:eastAsia="Arial Unicode MS"/>
          <w:i/>
          <w:color w:val="00B0F0"/>
          <w:lang w:val="en-GB" w:eastAsia="ja-JP"/>
        </w:rPr>
        <w:tab/>
      </w:r>
      <w:r>
        <w:rPr>
          <w:rFonts w:eastAsia="Arial Unicode MS"/>
          <w:i/>
          <w:color w:val="00B0F0"/>
          <w:lang w:val="en-GB" w:eastAsia="ja-JP"/>
        </w:rPr>
        <w:tab/>
      </w:r>
      <w:r>
        <w:rPr>
          <w:rFonts w:eastAsia="Arial Unicode MS"/>
          <w:i/>
          <w:color w:val="00B0F0"/>
          <w:lang w:val="en-GB" w:eastAsia="ja-JP"/>
        </w:rPr>
        <w:tab/>
        <w:t xml:space="preserve">Ṛgveda-Saṃhitā </w:t>
      </w:r>
      <w:r>
        <w:rPr>
          <w:rFonts w:eastAsia="Arial Unicode MS"/>
          <w:i/>
          <w:color w:val="00B0F0"/>
          <w:lang w:val="en-GB"/>
        </w:rPr>
        <w:t xml:space="preserve"> </w:t>
      </w:r>
      <w:r>
        <w:rPr>
          <w:rFonts w:eastAsia="Arial Unicode MS"/>
          <w:i/>
          <w:color w:val="00B0F0"/>
          <w:lang w:val="en-GB" w:eastAsia="ja-JP"/>
        </w:rPr>
        <w:t>with a Commentary of Sāyaṇācārya</w:t>
      </w:r>
      <w:r>
        <w:rPr>
          <w:rFonts w:eastAsia="Arial Unicode MS"/>
          <w:color w:val="00B0F0"/>
          <w:lang w:val="en-GB" w:eastAsia="ja-JP"/>
        </w:rPr>
        <w:t xml:space="preserve">, ed. </w:t>
      </w:r>
      <w:r>
        <w:rPr>
          <w:rFonts w:eastAsia="Arial Unicode MS"/>
          <w:color w:val="00B0F0"/>
          <w:lang w:val="de-DE" w:eastAsia="ja-JP"/>
        </w:rPr>
        <w:t xml:space="preserve">N.S. </w:t>
      </w:r>
      <w:r>
        <w:rPr>
          <w:rFonts w:eastAsia="Arial Unicode MS"/>
          <w:color w:val="00B0F0"/>
          <w:lang w:val="de-DE" w:eastAsia="ja-JP"/>
        </w:rPr>
        <w:tab/>
      </w:r>
      <w:r>
        <w:rPr>
          <w:rFonts w:eastAsia="Arial Unicode MS"/>
          <w:color w:val="00B0F0"/>
          <w:lang w:val="de-DE" w:eastAsia="ja-JP"/>
        </w:rPr>
        <w:tab/>
      </w:r>
      <w:r>
        <w:rPr>
          <w:rFonts w:eastAsia="Arial Unicode MS"/>
          <w:color w:val="00B0F0"/>
          <w:lang w:val="de-DE" w:eastAsia="ja-JP"/>
        </w:rPr>
        <w:tab/>
      </w:r>
      <w:r>
        <w:rPr>
          <w:rFonts w:eastAsia="Arial Unicode MS"/>
          <w:color w:val="00B0F0"/>
          <w:lang w:val="de-DE" w:eastAsia="ja-JP"/>
        </w:rPr>
        <w:tab/>
      </w:r>
      <w:r>
        <w:rPr>
          <w:rFonts w:eastAsia="Arial Unicode MS"/>
          <w:color w:val="00B0F0"/>
          <w:lang w:val="de-DE" w:eastAsia="ja-JP"/>
        </w:rPr>
        <w:tab/>
        <w:t xml:space="preserve">Sontakke - C.G. Kashikar. </w:t>
      </w:r>
      <w:r>
        <w:rPr>
          <w:rFonts w:eastAsia="Arial Unicode MS"/>
          <w:color w:val="00B0F0"/>
          <w:lang w:eastAsia="ja-JP"/>
        </w:rPr>
        <w:t>Poona 1933-1951.</w:t>
      </w:r>
    </w:p>
    <w:p w14:paraId="4E5880F9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  <w:color w:val="00B0F0"/>
        </w:rPr>
      </w:pPr>
    </w:p>
    <w:p w14:paraId="3458B636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Di seguito l'esemplificazione della prevedibile tipologia di testi da citare, rispettivamente di</w:t>
      </w:r>
    </w:p>
    <w:p w14:paraId="4A5302B8" w14:textId="77777777" w:rsidR="005408D7" w:rsidRDefault="005408D7" w:rsidP="005408D7">
      <w:pPr>
        <w:pStyle w:val="Normale1"/>
        <w:numPr>
          <w:ilvl w:val="0"/>
          <w:numId w:val="4"/>
        </w:num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VOLUME;</w:t>
      </w:r>
    </w:p>
    <w:p w14:paraId="6D9C2329" w14:textId="77777777" w:rsidR="005408D7" w:rsidRDefault="005408D7" w:rsidP="005408D7">
      <w:pPr>
        <w:pStyle w:val="Normale1"/>
        <w:numPr>
          <w:ilvl w:val="0"/>
          <w:numId w:val="4"/>
        </w:numPr>
        <w:jc w:val="both"/>
        <w:outlineLvl w:val="0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ARTICOLO IN PERIODICO;</w:t>
      </w:r>
    </w:p>
    <w:p w14:paraId="19FDBF54" w14:textId="77777777" w:rsidR="005408D7" w:rsidRDefault="005408D7" w:rsidP="005408D7">
      <w:pPr>
        <w:pStyle w:val="Normale1"/>
        <w:numPr>
          <w:ilvl w:val="0"/>
          <w:numId w:val="4"/>
        </w:numPr>
        <w:jc w:val="both"/>
        <w:outlineLvl w:val="0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TESTO e TRADUZIONE (con RIMANDO nelle FONTI PRIMARIE - vedi sopra);</w:t>
      </w:r>
    </w:p>
    <w:p w14:paraId="36A1AE7E" w14:textId="77777777" w:rsidR="005408D7" w:rsidRDefault="005408D7" w:rsidP="005408D7">
      <w:pPr>
        <w:pStyle w:val="Normale1"/>
        <w:numPr>
          <w:ilvl w:val="0"/>
          <w:numId w:val="4"/>
        </w:numPr>
        <w:jc w:val="both"/>
        <w:outlineLvl w:val="0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CONTRIBUTO in ATTI DI CONVEGNO;</w:t>
      </w:r>
    </w:p>
    <w:p w14:paraId="73AFDB5B" w14:textId="77777777" w:rsidR="005408D7" w:rsidRDefault="005408D7" w:rsidP="005408D7">
      <w:pPr>
        <w:pStyle w:val="Normale1"/>
        <w:numPr>
          <w:ilvl w:val="0"/>
          <w:numId w:val="4"/>
        </w:numPr>
        <w:jc w:val="both"/>
        <w:outlineLvl w:val="0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>CONTRIBUTO in MISCELLANEA</w:t>
      </w:r>
    </w:p>
    <w:p w14:paraId="3C7F2C1E" w14:textId="77777777" w:rsidR="005408D7" w:rsidRDefault="005408D7" w:rsidP="005408D7">
      <w:pPr>
        <w:pStyle w:val="Normale1"/>
        <w:jc w:val="both"/>
        <w:outlineLvl w:val="0"/>
        <w:rPr>
          <w:rFonts w:eastAsia="Arial Unicode MS"/>
          <w:color w:val="000000"/>
          <w:sz w:val="20"/>
          <w:szCs w:val="20"/>
        </w:rPr>
      </w:pPr>
    </w:p>
    <w:p w14:paraId="75CC50B0" w14:textId="77777777" w:rsidR="005408D7" w:rsidRDefault="005408D7" w:rsidP="005408D7">
      <w:pPr>
        <w:pStyle w:val="Normale1"/>
        <w:spacing w:after="120"/>
        <w:ind w:left="567" w:right="-7" w:hanging="567"/>
        <w:jc w:val="both"/>
        <w:outlineLvl w:val="0"/>
        <w:rPr>
          <w:rFonts w:eastAsia="Arial Unicode MS"/>
          <w:color w:val="0070C0"/>
          <w:sz w:val="22"/>
          <w:szCs w:val="22"/>
        </w:rPr>
      </w:pPr>
      <w:r>
        <w:rPr>
          <w:rFonts w:eastAsia="Arial Unicode MS"/>
          <w:color w:val="0070C0"/>
          <w:sz w:val="22"/>
          <w:szCs w:val="22"/>
        </w:rPr>
        <w:t xml:space="preserve">Ambaglio 1995 </w:t>
      </w:r>
      <w:r>
        <w:rPr>
          <w:rFonts w:eastAsia="Arial Unicode MS"/>
          <w:color w:val="0070C0"/>
          <w:sz w:val="22"/>
          <w:szCs w:val="22"/>
        </w:rPr>
        <w:tab/>
        <w:t xml:space="preserve">= D. Ambaglio, </w:t>
      </w:r>
      <w:r>
        <w:rPr>
          <w:rFonts w:eastAsia="Arial Unicode MS"/>
          <w:i/>
          <w:color w:val="0070C0"/>
          <w:sz w:val="22"/>
          <w:szCs w:val="22"/>
        </w:rPr>
        <w:t>La ‘Biblioteca storica’ di Diodoro Siculo: problemi e metodo</w:t>
      </w:r>
      <w:r>
        <w:rPr>
          <w:rFonts w:eastAsia="Arial Unicode MS" w:hint="eastAsia"/>
          <w:i/>
          <w:color w:val="0070C0"/>
          <w:sz w:val="22"/>
          <w:szCs w:val="22"/>
        </w:rPr>
        <w:t>,</w:t>
      </w:r>
      <w:r>
        <w:rPr>
          <w:rFonts w:eastAsia="Arial Unicode MS"/>
          <w:color w:val="0070C0"/>
          <w:sz w:val="22"/>
          <w:szCs w:val="22"/>
        </w:rPr>
        <w:t xml:space="preserve"> Como </w:t>
      </w:r>
      <w:r>
        <w:rPr>
          <w:rFonts w:eastAsia="Arial Unicode MS"/>
          <w:color w:val="0070C0"/>
          <w:sz w:val="22"/>
          <w:szCs w:val="22"/>
        </w:rPr>
        <w:tab/>
      </w:r>
      <w:r>
        <w:rPr>
          <w:rFonts w:eastAsia="Arial Unicode MS"/>
          <w:color w:val="0070C0"/>
          <w:sz w:val="22"/>
          <w:szCs w:val="22"/>
        </w:rPr>
        <w:tab/>
      </w:r>
      <w:r>
        <w:rPr>
          <w:rFonts w:eastAsia="Arial Unicode MS"/>
          <w:color w:val="0070C0"/>
          <w:sz w:val="22"/>
          <w:szCs w:val="22"/>
        </w:rPr>
        <w:tab/>
        <w:t>1995</w:t>
      </w:r>
      <w:r>
        <w:rPr>
          <w:rFonts w:eastAsia="Arial Unicode MS" w:hint="eastAsia"/>
          <w:color w:val="0070C0"/>
          <w:sz w:val="22"/>
          <w:szCs w:val="22"/>
        </w:rPr>
        <w:t>.</w:t>
      </w:r>
      <w:r>
        <w:rPr>
          <w:rFonts w:eastAsia="Arial Unicode MS"/>
          <w:color w:val="0070C0"/>
          <w:sz w:val="22"/>
          <w:szCs w:val="22"/>
        </w:rPr>
        <w:t xml:space="preserve"> </w:t>
      </w:r>
    </w:p>
    <w:p w14:paraId="3A406F51" w14:textId="77777777" w:rsidR="005408D7" w:rsidRDefault="005408D7" w:rsidP="005408D7">
      <w:pPr>
        <w:pStyle w:val="Normale1"/>
        <w:spacing w:after="120"/>
        <w:ind w:left="567" w:right="-7" w:hanging="567"/>
        <w:jc w:val="both"/>
        <w:rPr>
          <w:rFonts w:eastAsia="Arial Unicode MS"/>
          <w:color w:val="000000"/>
          <w:sz w:val="22"/>
          <w:szCs w:val="22"/>
        </w:rPr>
      </w:pPr>
      <w:r>
        <w:rPr>
          <w:rFonts w:eastAsia="Arial Unicode MS"/>
          <w:color w:val="0070C0"/>
          <w:sz w:val="22"/>
          <w:szCs w:val="22"/>
          <w:lang w:val="en-GB"/>
        </w:rPr>
        <w:t xml:space="preserve">Heckel - Yardley 1981 </w:t>
      </w:r>
      <w:r>
        <w:rPr>
          <w:rFonts w:eastAsia="Arial Unicode MS"/>
          <w:color w:val="0070C0"/>
          <w:sz w:val="22"/>
          <w:szCs w:val="22"/>
          <w:lang w:val="en-GB"/>
        </w:rPr>
        <w:tab/>
        <w:t>= W. Heckel</w:t>
      </w:r>
      <w:r>
        <w:rPr>
          <w:rFonts w:eastAsia="Arial Unicode MS"/>
          <w:color w:val="0070C0"/>
          <w:sz w:val="22"/>
          <w:szCs w:val="22"/>
          <w:lang w:val="en-GB"/>
        </w:rPr>
        <w:t xml:space="preserve"> </w:t>
      </w:r>
      <w:r w:rsidRPr="005408D7">
        <w:rPr>
          <w:rFonts w:eastAsia="Arial Unicode MS"/>
          <w:color w:val="0070C0"/>
          <w:sz w:val="22"/>
          <w:szCs w:val="22"/>
          <w:lang w:val="en-GB"/>
        </w:rPr>
        <w:t>-</w:t>
      </w:r>
      <w:r>
        <w:rPr>
          <w:rFonts w:eastAsia="Arial Unicode MS"/>
          <w:color w:val="0070C0"/>
          <w:sz w:val="22"/>
          <w:szCs w:val="22"/>
          <w:lang w:val="en-GB"/>
        </w:rPr>
        <w:t xml:space="preserve"> J.C. Yardley, </w:t>
      </w:r>
      <w:r>
        <w:rPr>
          <w:rFonts w:eastAsia="Arial Unicode MS"/>
          <w:i/>
          <w:color w:val="0070C0"/>
          <w:sz w:val="22"/>
          <w:szCs w:val="22"/>
          <w:lang w:val="en-GB"/>
        </w:rPr>
        <w:t>“</w:t>
      </w:r>
      <w:r>
        <w:rPr>
          <w:rFonts w:eastAsia="Arial Unicode MS"/>
          <w:color w:val="0070C0"/>
          <w:sz w:val="22"/>
          <w:szCs w:val="22"/>
          <w:lang w:val="en-GB"/>
        </w:rPr>
        <w:t>Roman Writers and the Indian practice of Suttee”</w:t>
      </w:r>
      <w:r>
        <w:rPr>
          <w:rFonts w:eastAsia="Arial Unicode MS" w:hint="eastAsia"/>
          <w:i/>
          <w:color w:val="0070C0"/>
          <w:sz w:val="22"/>
          <w:szCs w:val="22"/>
          <w:lang w:val="en-GB"/>
        </w:rPr>
        <w:t>.</w:t>
      </w:r>
      <w:r>
        <w:rPr>
          <w:rFonts w:eastAsia="Arial Unicode MS"/>
          <w:color w:val="0070C0"/>
          <w:sz w:val="22"/>
          <w:szCs w:val="22"/>
          <w:lang w:val="en-GB"/>
        </w:rPr>
        <w:t xml:space="preserve"> </w:t>
      </w:r>
      <w:r>
        <w:rPr>
          <w:rFonts w:eastAsia="Arial Unicode MS"/>
          <w:color w:val="0070C0"/>
          <w:sz w:val="22"/>
          <w:szCs w:val="22"/>
          <w:lang w:val="en-GB"/>
        </w:rPr>
        <w:tab/>
      </w:r>
      <w:r>
        <w:rPr>
          <w:rFonts w:eastAsia="Arial Unicode MS"/>
          <w:color w:val="0070C0"/>
          <w:sz w:val="22"/>
          <w:szCs w:val="22"/>
          <w:lang w:val="en-GB"/>
        </w:rPr>
        <w:tab/>
      </w:r>
      <w:r>
        <w:rPr>
          <w:rFonts w:eastAsia="Arial Unicode MS"/>
          <w:color w:val="0070C0"/>
          <w:sz w:val="22"/>
          <w:szCs w:val="22"/>
          <w:lang w:val="en-GB"/>
        </w:rPr>
        <w:tab/>
      </w:r>
      <w:r>
        <w:rPr>
          <w:rFonts w:eastAsia="Arial Unicode MS"/>
          <w:i/>
          <w:color w:val="0070C0"/>
          <w:sz w:val="22"/>
          <w:szCs w:val="22"/>
        </w:rPr>
        <w:t>Philologus</w:t>
      </w:r>
      <w:r>
        <w:rPr>
          <w:rFonts w:eastAsia="Arial Unicode MS"/>
          <w:color w:val="0070C0"/>
          <w:sz w:val="22"/>
          <w:szCs w:val="22"/>
        </w:rPr>
        <w:t xml:space="preserve"> 125, 305-11</w:t>
      </w:r>
      <w:r>
        <w:rPr>
          <w:rFonts w:eastAsia="Arial Unicode MS" w:hint="eastAsia"/>
          <w:color w:val="0070C0"/>
          <w:sz w:val="22"/>
          <w:szCs w:val="22"/>
        </w:rPr>
        <w:t>.</w:t>
      </w:r>
    </w:p>
    <w:p w14:paraId="54FB482C" w14:textId="77777777" w:rsidR="005408D7" w:rsidRDefault="005408D7" w:rsidP="005408D7">
      <w:pPr>
        <w:pStyle w:val="Normale1"/>
        <w:spacing w:after="120"/>
        <w:ind w:left="567" w:right="-7" w:hanging="567"/>
        <w:jc w:val="both"/>
        <w:rPr>
          <w:rFonts w:eastAsia="Arial Unicode MS"/>
          <w:color w:val="0070C0"/>
          <w:sz w:val="22"/>
          <w:szCs w:val="22"/>
          <w:lang w:val="en-GB"/>
        </w:rPr>
      </w:pPr>
      <w:r>
        <w:rPr>
          <w:rFonts w:eastAsia="Arial Unicode MS"/>
          <w:color w:val="0070C0"/>
          <w:sz w:val="22"/>
          <w:szCs w:val="22"/>
        </w:rPr>
        <w:t>Olivelle 2005</w:t>
      </w:r>
      <w:r>
        <w:rPr>
          <w:rFonts w:eastAsia="Arial Unicode MS"/>
          <w:color w:val="0070C0"/>
          <w:sz w:val="22"/>
          <w:szCs w:val="22"/>
        </w:rPr>
        <w:tab/>
      </w:r>
      <w:r>
        <w:rPr>
          <w:rFonts w:eastAsia="Arial Unicode MS"/>
          <w:color w:val="0070C0"/>
          <w:sz w:val="22"/>
          <w:szCs w:val="22"/>
        </w:rPr>
        <w:tab/>
        <w:t>= P. Olivelle (ed. tr.).</w:t>
      </w:r>
      <w:r>
        <w:rPr>
          <w:rFonts w:eastAsia="Arial Unicode MS"/>
          <w:i/>
          <w:color w:val="0070C0"/>
          <w:sz w:val="22"/>
          <w:szCs w:val="22"/>
        </w:rPr>
        <w:t xml:space="preserve"> </w:t>
      </w:r>
      <w:r>
        <w:rPr>
          <w:rFonts w:eastAsia="Arial Unicode MS"/>
          <w:i/>
          <w:color w:val="0070C0"/>
          <w:sz w:val="22"/>
          <w:szCs w:val="22"/>
          <w:lang w:val="en-GB"/>
        </w:rPr>
        <w:t xml:space="preserve">Manu’s code of Law. A critical Edition and Translation of the </w:t>
      </w:r>
      <w:r>
        <w:rPr>
          <w:rFonts w:eastAsia="Arial Unicode MS"/>
          <w:i/>
          <w:color w:val="0070C0"/>
          <w:sz w:val="22"/>
          <w:szCs w:val="22"/>
          <w:lang w:val="en-GB"/>
        </w:rPr>
        <w:tab/>
      </w:r>
      <w:r>
        <w:rPr>
          <w:rFonts w:eastAsia="Arial Unicode MS"/>
          <w:i/>
          <w:color w:val="0070C0"/>
          <w:sz w:val="22"/>
          <w:szCs w:val="22"/>
          <w:lang w:val="en-GB"/>
        </w:rPr>
        <w:tab/>
      </w:r>
      <w:r>
        <w:rPr>
          <w:rFonts w:eastAsia="Arial Unicode MS"/>
          <w:i/>
          <w:color w:val="0070C0"/>
          <w:sz w:val="22"/>
          <w:szCs w:val="22"/>
          <w:lang w:val="en-GB"/>
        </w:rPr>
        <w:tab/>
        <w:t>Mānava-Dharmaśāstra</w:t>
      </w:r>
      <w:r>
        <w:rPr>
          <w:rFonts w:eastAsia="Arial Unicode MS" w:hint="eastAsia"/>
          <w:color w:val="0070C0"/>
          <w:sz w:val="22"/>
          <w:szCs w:val="22"/>
          <w:lang w:val="en-GB"/>
        </w:rPr>
        <w:t>,</w:t>
      </w:r>
      <w:r>
        <w:rPr>
          <w:rFonts w:eastAsia="Arial Unicode MS"/>
          <w:color w:val="0070C0"/>
          <w:sz w:val="22"/>
          <w:szCs w:val="22"/>
          <w:lang w:val="en-GB"/>
        </w:rPr>
        <w:t xml:space="preserve"> Oxford 2005.</w:t>
      </w:r>
    </w:p>
    <w:p w14:paraId="470CA058" w14:textId="77777777" w:rsidR="005408D7" w:rsidRDefault="005408D7" w:rsidP="005408D7">
      <w:pPr>
        <w:widowControl w:val="0"/>
        <w:autoSpaceDE w:val="0"/>
        <w:spacing w:after="120"/>
        <w:ind w:left="284" w:right="-7" w:hanging="284"/>
        <w:jc w:val="both"/>
        <w:rPr>
          <w:rFonts w:ascii="Times New Roman" w:eastAsia="Arial Unicode MS" w:hAnsi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/>
          <w:color w:val="0070C0"/>
          <w:sz w:val="22"/>
          <w:szCs w:val="22"/>
          <w:lang w:val="en-GB"/>
        </w:rPr>
        <w:t xml:space="preserve">Rau 1997 </w:t>
      </w:r>
      <w:r>
        <w:rPr>
          <w:rFonts w:ascii="Times New Roman" w:hAnsi="Times New Roman"/>
          <w:color w:val="0070C0"/>
          <w:sz w:val="22"/>
          <w:szCs w:val="22"/>
          <w:lang w:val="en-GB"/>
        </w:rPr>
        <w:tab/>
      </w:r>
      <w:r>
        <w:rPr>
          <w:rFonts w:ascii="Times New Roman" w:hAnsi="Times New Roman"/>
          <w:color w:val="0070C0"/>
          <w:sz w:val="22"/>
          <w:szCs w:val="22"/>
          <w:lang w:val="en-GB"/>
        </w:rPr>
        <w:tab/>
        <w:t xml:space="preserve">= W. Rau, “The Earliest Literary Evidence for Permanent Vedic Settlements”, in M. </w:t>
      </w:r>
      <w:r>
        <w:rPr>
          <w:rFonts w:ascii="Times New Roman" w:hAnsi="Times New Roman"/>
          <w:color w:val="0070C0"/>
          <w:sz w:val="22"/>
          <w:szCs w:val="22"/>
          <w:lang w:val="en-GB"/>
        </w:rPr>
        <w:tab/>
      </w:r>
      <w:r>
        <w:rPr>
          <w:rFonts w:ascii="Times New Roman" w:hAnsi="Times New Roman"/>
          <w:color w:val="0070C0"/>
          <w:sz w:val="22"/>
          <w:szCs w:val="22"/>
          <w:lang w:val="en-GB"/>
        </w:rPr>
        <w:tab/>
      </w:r>
      <w:r>
        <w:rPr>
          <w:rFonts w:ascii="Times New Roman" w:hAnsi="Times New Roman"/>
          <w:color w:val="0070C0"/>
          <w:sz w:val="22"/>
          <w:szCs w:val="22"/>
          <w:lang w:val="en-GB"/>
        </w:rPr>
        <w:tab/>
        <w:t xml:space="preserve">Witzel (ed.), </w:t>
      </w:r>
      <w:r>
        <w:rPr>
          <w:rFonts w:ascii="Times New Roman" w:hAnsi="Times New Roman"/>
          <w:i/>
          <w:color w:val="0070C0"/>
          <w:sz w:val="22"/>
          <w:szCs w:val="22"/>
          <w:lang w:val="en-GB"/>
        </w:rPr>
        <w:t xml:space="preserve">Inside the Texts Beyond the Texts. New Approaches to the Study of the </w:t>
      </w:r>
      <w:r>
        <w:rPr>
          <w:rFonts w:ascii="Times New Roman" w:hAnsi="Times New Roman"/>
          <w:i/>
          <w:color w:val="0070C0"/>
          <w:sz w:val="22"/>
          <w:szCs w:val="22"/>
          <w:lang w:val="en-GB"/>
        </w:rPr>
        <w:tab/>
      </w:r>
      <w:r>
        <w:rPr>
          <w:rFonts w:ascii="Times New Roman" w:hAnsi="Times New Roman"/>
          <w:i/>
          <w:color w:val="0070C0"/>
          <w:sz w:val="22"/>
          <w:szCs w:val="22"/>
          <w:lang w:val="en-GB"/>
        </w:rPr>
        <w:tab/>
      </w:r>
      <w:r>
        <w:rPr>
          <w:rFonts w:ascii="Times New Roman" w:hAnsi="Times New Roman"/>
          <w:i/>
          <w:color w:val="0070C0"/>
          <w:sz w:val="22"/>
          <w:szCs w:val="22"/>
          <w:lang w:val="en-GB"/>
        </w:rPr>
        <w:tab/>
        <w:t xml:space="preserve">Vedas. Proceedings of the International Vedic Workshop, Harvard University, June </w:t>
      </w:r>
      <w:r>
        <w:rPr>
          <w:rFonts w:ascii="Times New Roman" w:hAnsi="Times New Roman"/>
          <w:i/>
          <w:color w:val="0070C0"/>
          <w:sz w:val="22"/>
          <w:szCs w:val="22"/>
          <w:lang w:val="en-GB"/>
        </w:rPr>
        <w:tab/>
      </w:r>
      <w:r>
        <w:rPr>
          <w:rFonts w:ascii="Times New Roman" w:hAnsi="Times New Roman"/>
          <w:i/>
          <w:color w:val="0070C0"/>
          <w:sz w:val="22"/>
          <w:szCs w:val="22"/>
          <w:lang w:val="en-GB"/>
        </w:rPr>
        <w:tab/>
      </w:r>
      <w:r>
        <w:rPr>
          <w:rFonts w:ascii="Times New Roman" w:hAnsi="Times New Roman"/>
          <w:i/>
          <w:color w:val="0070C0"/>
          <w:sz w:val="22"/>
          <w:szCs w:val="22"/>
          <w:lang w:val="en-GB"/>
        </w:rPr>
        <w:tab/>
        <w:t>1989</w:t>
      </w:r>
      <w:r>
        <w:rPr>
          <w:rFonts w:ascii="Times New Roman" w:hAnsi="Times New Roman"/>
          <w:color w:val="0070C0"/>
          <w:sz w:val="22"/>
          <w:szCs w:val="22"/>
          <w:lang w:val="en-GB"/>
        </w:rPr>
        <w:t xml:space="preserve">, Cambridge 1997, 203-6.  </w:t>
      </w:r>
    </w:p>
    <w:p w14:paraId="4A701A13" w14:textId="77777777" w:rsidR="005408D7" w:rsidRDefault="005408D7" w:rsidP="005408D7">
      <w:pPr>
        <w:widowControl w:val="0"/>
        <w:autoSpaceDE w:val="0"/>
        <w:spacing w:after="120"/>
        <w:ind w:left="284" w:right="-7" w:hanging="284"/>
        <w:jc w:val="both"/>
        <w:rPr>
          <w:rFonts w:ascii="Times New Roman" w:eastAsia="Arial Unicode MS" w:hAnsi="Times New Roman"/>
          <w:color w:val="000000"/>
          <w:sz w:val="22"/>
          <w:szCs w:val="22"/>
          <w:lang w:val="fr-FR"/>
        </w:rPr>
      </w:pPr>
      <w:r>
        <w:rPr>
          <w:rFonts w:ascii="Times New Roman" w:hAnsi="Times New Roman"/>
          <w:color w:val="0070C0"/>
          <w:sz w:val="22"/>
          <w:szCs w:val="22"/>
          <w:lang w:val="fr-FR"/>
        </w:rPr>
        <w:t>Renou 1978</w:t>
      </w:r>
      <w:r>
        <w:rPr>
          <w:rFonts w:ascii="Times New Roman" w:hAnsi="Times New Roman"/>
          <w:color w:val="0070C0"/>
          <w:sz w:val="22"/>
          <w:szCs w:val="22"/>
          <w:vertAlign w:val="superscript"/>
          <w:lang w:val="fr-FR"/>
        </w:rPr>
        <w:t>2</w:t>
      </w:r>
      <w:r>
        <w:rPr>
          <w:rFonts w:ascii="Times New Roman" w:hAnsi="Times New Roman"/>
          <w:color w:val="0070C0"/>
          <w:sz w:val="22"/>
          <w:szCs w:val="22"/>
          <w:lang w:val="fr-FR"/>
        </w:rPr>
        <w:t xml:space="preserve"> </w:t>
      </w:r>
      <w:r>
        <w:rPr>
          <w:rFonts w:ascii="Times New Roman" w:hAnsi="Times New Roman"/>
          <w:color w:val="0070C0"/>
          <w:sz w:val="22"/>
          <w:szCs w:val="22"/>
          <w:lang w:val="fr-FR"/>
        </w:rPr>
        <w:tab/>
      </w:r>
      <w:r>
        <w:rPr>
          <w:rFonts w:ascii="Times New Roman" w:hAnsi="Times New Roman"/>
          <w:color w:val="0070C0"/>
          <w:sz w:val="22"/>
          <w:szCs w:val="22"/>
          <w:lang w:val="fr-FR"/>
        </w:rPr>
        <w:tab/>
        <w:t xml:space="preserve">= L. Renou, “Le ‘jeu de mots’ et ses implications”, in L. Renou (ed.), </w:t>
      </w:r>
      <w:r>
        <w:rPr>
          <w:rFonts w:ascii="Times New Roman" w:hAnsi="Times New Roman"/>
          <w:i/>
          <w:iCs/>
          <w:color w:val="0070C0"/>
          <w:sz w:val="22"/>
          <w:szCs w:val="22"/>
          <w:lang w:val="fr-FR"/>
        </w:rPr>
        <w:t xml:space="preserve">L’Inde </w:t>
      </w:r>
      <w:r>
        <w:rPr>
          <w:rFonts w:ascii="Times New Roman" w:hAnsi="Times New Roman"/>
          <w:i/>
          <w:iCs/>
          <w:color w:val="0070C0"/>
          <w:sz w:val="22"/>
          <w:szCs w:val="22"/>
          <w:lang w:val="fr-FR"/>
        </w:rPr>
        <w:tab/>
      </w:r>
      <w:r>
        <w:rPr>
          <w:rFonts w:ascii="Times New Roman" w:hAnsi="Times New Roman"/>
          <w:i/>
          <w:iCs/>
          <w:color w:val="0070C0"/>
          <w:sz w:val="22"/>
          <w:szCs w:val="22"/>
          <w:lang w:val="fr-FR"/>
        </w:rPr>
        <w:tab/>
      </w:r>
      <w:r>
        <w:rPr>
          <w:rFonts w:ascii="Times New Roman" w:hAnsi="Times New Roman"/>
          <w:i/>
          <w:iCs/>
          <w:color w:val="0070C0"/>
          <w:sz w:val="22"/>
          <w:szCs w:val="22"/>
          <w:lang w:val="fr-FR"/>
        </w:rPr>
        <w:tab/>
      </w:r>
      <w:r>
        <w:rPr>
          <w:rFonts w:ascii="Times New Roman" w:hAnsi="Times New Roman"/>
          <w:i/>
          <w:iCs/>
          <w:color w:val="0070C0"/>
          <w:sz w:val="22"/>
          <w:szCs w:val="22"/>
          <w:lang w:val="fr-FR"/>
        </w:rPr>
        <w:tab/>
        <w:t xml:space="preserve">fondamentale: Études d’indianisme réunies et </w:t>
      </w:r>
      <w:r>
        <w:rPr>
          <w:rFonts w:ascii="Times New Roman" w:hAnsi="Times New Roman"/>
          <w:iCs/>
          <w:color w:val="0070C0"/>
          <w:sz w:val="22"/>
          <w:szCs w:val="22"/>
          <w:lang w:val="fr-FR"/>
        </w:rPr>
        <w:t xml:space="preserve">présentées, </w:t>
      </w:r>
      <w:r>
        <w:rPr>
          <w:rFonts w:ascii="Times New Roman" w:hAnsi="Times New Roman"/>
          <w:color w:val="0070C0"/>
          <w:sz w:val="22"/>
          <w:szCs w:val="22"/>
          <w:lang w:val="fr-FR"/>
        </w:rPr>
        <w:t>Paris 1978, 29-34.</w:t>
      </w:r>
    </w:p>
    <w:p w14:paraId="49A51707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  <w:color w:val="FF0000"/>
          <w:lang w:val="fr-FR"/>
        </w:rPr>
      </w:pPr>
    </w:p>
    <w:p w14:paraId="5D71565C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METODO DI CITAZIONE BIBLIOGRAFICA NEL TESTO</w:t>
      </w:r>
    </w:p>
    <w:p w14:paraId="600AFA0F" w14:textId="77777777" w:rsidR="005408D7" w:rsidRDefault="005408D7" w:rsidP="005408D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es.:</w:t>
      </w:r>
    </w:p>
    <w:p w14:paraId="20280E35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(SE SI CITA un </w:t>
      </w:r>
      <w:r>
        <w:rPr>
          <w:rFonts w:ascii="Times New Roman" w:hAnsi="Times New Roman"/>
          <w:u w:val="single"/>
        </w:rPr>
        <w:t>AUTORE</w:t>
      </w:r>
      <w:r>
        <w:rPr>
          <w:rFonts w:ascii="Times New Roman" w:hAnsi="Times New Roman"/>
        </w:rPr>
        <w:t xml:space="preserve"> e si VUOLE DARE IL RIFERIMENTO AL LUOGO...)</w:t>
      </w:r>
    </w:p>
    <w:p w14:paraId="3BB5CB4A" w14:textId="77777777" w:rsidR="005408D7" w:rsidRDefault="005408D7" w:rsidP="005408D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Come ha sostenuto </w:t>
      </w:r>
      <w:r>
        <w:rPr>
          <w:rFonts w:ascii="Times New Roman" w:hAnsi="Times New Roman"/>
          <w:color w:val="FF0000"/>
        </w:rPr>
        <w:t>Rau (1997</w:t>
      </w:r>
      <w:bookmarkStart w:id="0" w:name="_GoBack"/>
      <w:bookmarkEnd w:id="0"/>
      <w:r>
        <w:rPr>
          <w:rFonts w:ascii="Times New Roman" w:hAnsi="Times New Roman"/>
          <w:color w:val="FF0000"/>
        </w:rPr>
        <w:t>, 205)</w:t>
      </w:r>
      <w:r>
        <w:rPr>
          <w:rFonts w:ascii="Times New Roman" w:hAnsi="Times New Roman"/>
          <w:color w:val="0070C0"/>
        </w:rPr>
        <w:t>, l'area rituale destinata alla celebrazione dei sacrifici...</w:t>
      </w:r>
    </w:p>
    <w:p w14:paraId="4844AD06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(SE SI CITA UN </w:t>
      </w:r>
      <w:r>
        <w:rPr>
          <w:rFonts w:ascii="Times New Roman" w:hAnsi="Times New Roman"/>
          <w:u w:val="single"/>
        </w:rPr>
        <w:t>PASSO</w:t>
      </w:r>
      <w:r>
        <w:rPr>
          <w:rFonts w:ascii="Times New Roman" w:hAnsi="Times New Roman"/>
        </w:rPr>
        <w:t xml:space="preserve"> DI UN CONTRIBUTO, per es. in NOTA) </w:t>
      </w:r>
    </w:p>
    <w:p w14:paraId="0DAEA28A" w14:textId="77777777" w:rsidR="005408D7" w:rsidRDefault="005408D7" w:rsidP="005408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La prima ipotesi di tale collocazione delle aree sacrificali è stata avanzata in Rau 1997, 205.</w:t>
      </w:r>
    </w:p>
    <w:p w14:paraId="7F9E360F" w14:textId="77777777" w:rsidR="005408D7" w:rsidRDefault="005408D7" w:rsidP="005408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70C0"/>
          <w:lang w:val="en-GB"/>
        </w:rPr>
      </w:pPr>
      <w:r>
        <w:rPr>
          <w:rFonts w:ascii="Times New Roman" w:hAnsi="Times New Roman"/>
          <w:color w:val="0070C0"/>
          <w:lang w:val="en-GB"/>
        </w:rPr>
        <w:t xml:space="preserve">Cf. </w:t>
      </w:r>
      <w:r>
        <w:rPr>
          <w:rFonts w:ascii="Times New Roman" w:hAnsi="Times New Roman"/>
          <w:color w:val="FF0000"/>
          <w:lang w:val="en-GB"/>
        </w:rPr>
        <w:t>Renou 1978, 31</w:t>
      </w:r>
      <w:r>
        <w:rPr>
          <w:rFonts w:ascii="Times New Roman" w:hAnsi="Times New Roman"/>
          <w:color w:val="0070C0"/>
          <w:lang w:val="en-GB"/>
        </w:rPr>
        <w:t>.</w:t>
      </w:r>
    </w:p>
    <w:p w14:paraId="738CEAE9" w14:textId="77777777" w:rsidR="005408D7" w:rsidRDefault="005408D7" w:rsidP="005408D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Arial Unicode MS" w:hAnsi="Times New Roman"/>
          <w:color w:val="0070C0"/>
          <w:lang w:val="en-GB"/>
        </w:rPr>
      </w:pPr>
      <w:r>
        <w:rPr>
          <w:rFonts w:ascii="Times New Roman" w:hAnsi="Times New Roman"/>
          <w:color w:val="0070C0"/>
          <w:lang w:val="en-GB"/>
        </w:rPr>
        <w:t xml:space="preserve">Vedi </w:t>
      </w:r>
      <w:r>
        <w:rPr>
          <w:rFonts w:ascii="Times New Roman" w:eastAsia="Arial Unicode MS" w:hAnsi="Times New Roman"/>
          <w:color w:val="FF0000"/>
          <w:lang w:val="en-GB"/>
        </w:rPr>
        <w:t>Heckel - Yardley 1981, 307.</w:t>
      </w:r>
    </w:p>
    <w:p w14:paraId="001CEA74" w14:textId="77777777" w:rsidR="005408D7" w:rsidRDefault="005408D7" w:rsidP="005408D7">
      <w:pPr>
        <w:spacing w:line="360" w:lineRule="auto"/>
        <w:jc w:val="both"/>
        <w:rPr>
          <w:rFonts w:ascii="Times New Roman" w:eastAsia="Arial Unicode MS" w:hAnsi="Times New Roman"/>
          <w:color w:val="000000"/>
        </w:rPr>
      </w:pPr>
      <w:r>
        <w:rPr>
          <w:rFonts w:ascii="Times New Roman" w:eastAsia="Arial Unicode MS" w:hAnsi="Times New Roman"/>
          <w:color w:val="000000"/>
        </w:rPr>
        <w:t>(se si CITA UN TESTO di un'Edizione e poi la traduzione d'altri)</w:t>
      </w:r>
    </w:p>
    <w:p w14:paraId="705B16B7" w14:textId="77777777" w:rsidR="005408D7" w:rsidRDefault="005408D7" w:rsidP="005408D7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 New Roman" w:hAnsi="Times New Roman"/>
        </w:rPr>
      </w:pPr>
      <w:r>
        <w:rPr>
          <w:rFonts w:ascii="Times New Roman (Vietnamese)" w:hAnsi="Times New Roman (Vietnamese)" w:cs="Times New Roman (Vietnamese)"/>
          <w:lang w:val="en-GB"/>
        </w:rPr>
        <w:t xml:space="preserve">MDhŚ 10.20: </w:t>
      </w:r>
      <w:r>
        <w:rPr>
          <w:rFonts w:ascii="Times New Roman (Vietnamese)" w:hAnsi="Times New Roman (Vietnamese)" w:cs="Times New Roman (Vietnamese)"/>
          <w:i/>
          <w:iCs/>
          <w:lang w:val="en-GB"/>
        </w:rPr>
        <w:t>dvijātayaḥ savarṇāsu janayanty avratāṃs tu yān / tān sāvitrīparibhrṣṭān vrātyān ity abhinirdiśet</w:t>
      </w:r>
      <w:r>
        <w:rPr>
          <w:rFonts w:ascii="Times New Roman" w:hAnsi="Times New Roman"/>
          <w:lang w:val="en-GB"/>
        </w:rPr>
        <w:t xml:space="preserve">, “When children fathered by twice-born men with women of equal class do not keep the observances and have fallen from the Sāvitrī, they should be deemed to be </w:t>
      </w:r>
      <w:r>
        <w:rPr>
          <w:rFonts w:ascii="Times New Roman" w:hAnsi="Times New Roman"/>
          <w:i/>
          <w:iCs/>
          <w:lang w:val="en-GB"/>
        </w:rPr>
        <w:t>vrātya</w:t>
      </w:r>
      <w:r>
        <w:rPr>
          <w:rFonts w:ascii="Times New Roman" w:hAnsi="Times New Roman"/>
          <w:lang w:val="en-GB"/>
        </w:rPr>
        <w:t>” (</w:t>
      </w:r>
      <w:r>
        <w:rPr>
          <w:rFonts w:ascii="Times New Roman" w:hAnsi="Times New Roman"/>
          <w:color w:val="FF0000"/>
          <w:lang w:val="en-GB"/>
        </w:rPr>
        <w:t xml:space="preserve">tr. </w:t>
      </w:r>
      <w:r>
        <w:rPr>
          <w:rFonts w:ascii="Times New Roman" w:hAnsi="Times New Roman"/>
          <w:color w:val="FF0000"/>
        </w:rPr>
        <w:t>Olivelle 2005</w:t>
      </w:r>
      <w:r>
        <w:rPr>
          <w:rFonts w:ascii="Times New Roman" w:hAnsi="Times New Roman"/>
        </w:rPr>
        <w:t xml:space="preserve">). </w:t>
      </w:r>
    </w:p>
    <w:p w14:paraId="71835B9F" w14:textId="77777777" w:rsidR="005408D7" w:rsidRDefault="005408D7" w:rsidP="005408D7">
      <w:pPr>
        <w:spacing w:line="360" w:lineRule="auto"/>
        <w:jc w:val="both"/>
        <w:rPr>
          <w:rFonts w:ascii="Times New Roman" w:eastAsia="Arial Unicode MS" w:hAnsi="Times New Roman"/>
          <w:color w:val="000000"/>
        </w:rPr>
      </w:pPr>
      <w:r>
        <w:rPr>
          <w:rFonts w:ascii="Times New Roman" w:eastAsia="Arial Unicode MS" w:hAnsi="Times New Roman"/>
          <w:color w:val="000000"/>
        </w:rPr>
        <w:t>(Se si cita un DIZIONARIO o un altro strumento che procede per LEMMI)</w:t>
      </w:r>
    </w:p>
    <w:p w14:paraId="575ED5A0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  <w:i/>
          <w:color w:val="0070C0"/>
        </w:rPr>
      </w:pPr>
      <w:r>
        <w:rPr>
          <w:rFonts w:ascii="Times New Roman" w:hAnsi="Times New Roman"/>
          <w:color w:val="000000"/>
        </w:rPr>
        <w:t xml:space="preserve">Cf. Chantraine </w:t>
      </w:r>
      <w:r>
        <w:rPr>
          <w:rFonts w:ascii="Times New Roman" w:eastAsia="Arial Unicode MS" w:hAnsi="Times New Roman"/>
          <w:color w:val="000000"/>
        </w:rPr>
        <w:t xml:space="preserve">1968-80, </w:t>
      </w:r>
      <w:r>
        <w:rPr>
          <w:rFonts w:ascii="Times New Roman" w:eastAsia="Arial Unicode MS" w:hAnsi="Times New Roman"/>
          <w:i/>
          <w:color w:val="FF0000"/>
        </w:rPr>
        <w:t>s.v</w:t>
      </w:r>
      <w:r>
        <w:rPr>
          <w:rFonts w:ascii="Times New Roman" w:eastAsia="Arial Unicode MS" w:hAnsi="Times New Roman" w:hint="eastAsia"/>
          <w:i/>
          <w:color w:val="0070C0"/>
        </w:rPr>
        <w:t>.</w:t>
      </w:r>
    </w:p>
    <w:p w14:paraId="6C36467F" w14:textId="77777777" w:rsidR="005408D7" w:rsidRDefault="005408D7" w:rsidP="005408D7">
      <w:pPr>
        <w:spacing w:line="360" w:lineRule="auto"/>
        <w:jc w:val="both"/>
        <w:rPr>
          <w:rFonts w:ascii="Times New Roman" w:hAnsi="Times New Roman"/>
        </w:rPr>
      </w:pPr>
    </w:p>
    <w:p w14:paraId="793B5B23" w14:textId="77777777" w:rsidR="005408D7" w:rsidRDefault="005408D7" w:rsidP="005408D7">
      <w:pPr>
        <w:jc w:val="both"/>
        <w:rPr>
          <w:rFonts w:ascii="Times New Roman" w:hAnsi="Times New Roman"/>
        </w:rPr>
      </w:pPr>
    </w:p>
    <w:p w14:paraId="75244838" w14:textId="77777777" w:rsidR="008579D3" w:rsidRDefault="008579D3"/>
    <w:sectPr w:rsidR="008579D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2DC7C" w14:textId="77777777" w:rsidR="00AA7E25" w:rsidRDefault="00AA7E25" w:rsidP="005408D7">
      <w:r>
        <w:separator/>
      </w:r>
    </w:p>
  </w:endnote>
  <w:endnote w:type="continuationSeparator" w:id="0">
    <w:p w14:paraId="797BC96D" w14:textId="77777777" w:rsidR="00AA7E25" w:rsidRDefault="00AA7E25" w:rsidP="0054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 (Vietnamese)"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243CD" w14:textId="77777777" w:rsidR="00AA7E25" w:rsidRDefault="00AA7E25" w:rsidP="005408D7">
      <w:r>
        <w:separator/>
      </w:r>
    </w:p>
  </w:footnote>
  <w:footnote w:type="continuationSeparator" w:id="0">
    <w:p w14:paraId="328290B4" w14:textId="77777777" w:rsidR="00AA7E25" w:rsidRDefault="00AA7E25" w:rsidP="005408D7">
      <w:r>
        <w:continuationSeparator/>
      </w:r>
    </w:p>
  </w:footnote>
  <w:footnote w:id="1">
    <w:p w14:paraId="62C45CBD" w14:textId="77777777" w:rsidR="005408D7" w:rsidRDefault="005408D7" w:rsidP="005408D7">
      <w:pPr>
        <w:pStyle w:val="Testonotaapidipagina"/>
      </w:pPr>
      <w:r>
        <w:rPr>
          <w:rStyle w:val="Rimandonotaapidipagina"/>
          <w:color w:val="0070C0"/>
          <w:sz w:val="20"/>
          <w:szCs w:val="20"/>
        </w:rPr>
        <w:footnoteRef/>
      </w:r>
      <w:r>
        <w:rPr>
          <w:rFonts w:ascii="Times New Roman" w:hAnsi="Times New Roman"/>
          <w:color w:val="0070C0"/>
          <w:sz w:val="20"/>
          <w:szCs w:val="20"/>
        </w:rPr>
        <w:t xml:space="preserve"> Vedi ad es. van </w:t>
      </w:r>
      <w:r>
        <w:rPr>
          <w:rFonts w:ascii="Times New Roman" w:eastAsia="Arial Unicode MS" w:hAnsi="Times New Roman"/>
          <w:color w:val="0070C0"/>
          <w:sz w:val="20"/>
          <w:szCs w:val="20"/>
        </w:rPr>
        <w:t>Buitenen 1973, 49; Karttunen 1998, 33.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71006"/>
    <w:multiLevelType w:val="hybridMultilevel"/>
    <w:tmpl w:val="B52CD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1837B3A"/>
    <w:multiLevelType w:val="hybridMultilevel"/>
    <w:tmpl w:val="56B6E17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Times New Roman" w:hint="default"/>
      </w:rPr>
    </w:lvl>
  </w:abstractNum>
  <w:abstractNum w:abstractNumId="2">
    <w:nsid w:val="39E003C3"/>
    <w:multiLevelType w:val="hybridMultilevel"/>
    <w:tmpl w:val="FB44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4F7E6193"/>
    <w:multiLevelType w:val="hybridMultilevel"/>
    <w:tmpl w:val="95100A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D7"/>
    <w:rsid w:val="005408D7"/>
    <w:rsid w:val="008579D3"/>
    <w:rsid w:val="00AA7E25"/>
    <w:rsid w:val="00C9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8B7B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08D7"/>
    <w:rPr>
      <w:rFonts w:ascii="Calibri" w:eastAsia="Times New Roman" w:hAnsi="Calibri" w:cs="Times New Roman"/>
      <w:noProof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rsid w:val="005408D7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Normale1">
    <w:name w:val="Normale1"/>
    <w:rsid w:val="005408D7"/>
    <w:rPr>
      <w:rFonts w:ascii="Times New Roman" w:eastAsia="Times New Roman" w:hAnsi="Times New Roman" w:cs="Times New Roman"/>
      <w:noProof/>
      <w:lang w:eastAsia="it-IT"/>
    </w:rPr>
  </w:style>
  <w:style w:type="paragraph" w:customStyle="1" w:styleId="ListParagraph">
    <w:name w:val="List Paragraph"/>
    <w:basedOn w:val="Normale"/>
    <w:rsid w:val="005408D7"/>
    <w:pPr>
      <w:ind w:left="720"/>
    </w:pPr>
  </w:style>
  <w:style w:type="paragraph" w:styleId="Testonotaapidipagina">
    <w:name w:val="footnote text"/>
    <w:basedOn w:val="Normale"/>
    <w:link w:val="TestonotaapidipaginaCarattere"/>
    <w:semiHidden/>
    <w:rsid w:val="005408D7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408D7"/>
    <w:rPr>
      <w:rFonts w:ascii="Calibri" w:eastAsia="Times New Roman" w:hAnsi="Calibri" w:cs="Times New Roman"/>
      <w:noProof/>
      <w:lang w:eastAsia="it-IT"/>
    </w:rPr>
  </w:style>
  <w:style w:type="character" w:styleId="Rimandonotaapidipagina">
    <w:name w:val="footnote reference"/>
    <w:semiHidden/>
    <w:rsid w:val="005408D7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975</Words>
  <Characters>5562</Characters>
  <Application>Microsoft Macintosh Word</Application>
  <DocSecurity>0</DocSecurity>
  <Lines>46</Lines>
  <Paragraphs>13</Paragraphs>
  <ScaleCrop>false</ScaleCrop>
  <Company>Dipartimento di Filologia, Letteratura e Linguistic</Company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Pontillo</dc:creator>
  <cp:keywords/>
  <dc:description/>
  <cp:lastModifiedBy>Tiziana Pontillo</cp:lastModifiedBy>
  <cp:revision>1</cp:revision>
  <dcterms:created xsi:type="dcterms:W3CDTF">2016-05-04T09:02:00Z</dcterms:created>
  <dcterms:modified xsi:type="dcterms:W3CDTF">2016-05-04T09:05:00Z</dcterms:modified>
</cp:coreProperties>
</file>