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F6" w:rsidRDefault="00D96D4F">
      <w:r>
        <w:t>Prova di autoverifica</w:t>
      </w:r>
      <w:r w:rsidR="00305B64">
        <w:t xml:space="preserve"> Legislazione </w:t>
      </w:r>
      <w:proofErr w:type="spellStart"/>
      <w:r w:rsidR="00305B64">
        <w:t>bc</w:t>
      </w:r>
      <w:proofErr w:type="spellEnd"/>
      <w:r w:rsidR="00305B64">
        <w:t xml:space="preserve"> novembre 2020</w:t>
      </w:r>
    </w:p>
    <w:p w:rsidR="00305B64" w:rsidRDefault="00305B64"/>
    <w:p w:rsidR="002B3B1B" w:rsidRPr="002B3B1B" w:rsidRDefault="00305B64">
      <w:pPr>
        <w:rPr>
          <w:u w:val="single"/>
        </w:rPr>
      </w:pPr>
      <w:r>
        <w:t xml:space="preserve">Domande </w:t>
      </w:r>
      <w:r w:rsidRPr="00D970ED">
        <w:rPr>
          <w:u w:val="single"/>
        </w:rPr>
        <w:t>sulle prime 6 lezioni</w:t>
      </w:r>
      <w:r w:rsidR="00D970ED">
        <w:rPr>
          <w:u w:val="single"/>
        </w:rPr>
        <w:t xml:space="preserve"> (esclusa convenzione </w:t>
      </w:r>
      <w:proofErr w:type="spellStart"/>
      <w:r w:rsidR="00D970ED">
        <w:rPr>
          <w:u w:val="single"/>
        </w:rPr>
        <w:t>unesco</w:t>
      </w:r>
      <w:proofErr w:type="spellEnd"/>
      <w:r w:rsidR="00D970ED">
        <w:rPr>
          <w:u w:val="single"/>
        </w:rPr>
        <w:t xml:space="preserve"> 2003, art 7-bis e art 10 codice)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Le fonti del diritto italiano, nozione di fonte gerarchia e competenza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La posizione del codice Urbani nella gerarchia delle fonti</w:t>
      </w:r>
      <w:r w:rsidR="00D970ED">
        <w:t xml:space="preserve"> (cosa è un d.lgs. quali tipologie di norme contiene il codice in materia di tutela e valorizzazione)</w:t>
      </w:r>
    </w:p>
    <w:p w:rsidR="00305B64" w:rsidRDefault="002B3B1B" w:rsidP="00305B64">
      <w:pPr>
        <w:pStyle w:val="Paragrafoelenco"/>
        <w:numPr>
          <w:ilvl w:val="0"/>
          <w:numId w:val="1"/>
        </w:numPr>
      </w:pPr>
      <w:r>
        <w:t xml:space="preserve">Art 117 Costituzione: </w:t>
      </w:r>
      <w:r w:rsidR="00305B64">
        <w:t>Tipologie di competenze legislative e relativi limiti di rispetto</w:t>
      </w:r>
    </w:p>
    <w:p w:rsidR="002B3B1B" w:rsidRDefault="002B3B1B" w:rsidP="002B3B1B">
      <w:pPr>
        <w:pStyle w:val="Paragrafoelenco"/>
        <w:numPr>
          <w:ilvl w:val="0"/>
          <w:numId w:val="1"/>
        </w:numPr>
      </w:pPr>
      <w:r w:rsidRPr="002B3B1B">
        <w:t>Valore delle norme di tutela per le regioni e valore delle norme di valorizzazione per le regioni ordinarie e per le regioni speciali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 xml:space="preserve">Tutela competenza legislativa esclusiva </w:t>
      </w:r>
    </w:p>
    <w:p w:rsidR="002B3B1B" w:rsidRDefault="002B3B1B" w:rsidP="002B3B1B">
      <w:pPr>
        <w:pStyle w:val="Paragrafoelenco"/>
        <w:numPr>
          <w:ilvl w:val="0"/>
          <w:numId w:val="1"/>
        </w:numPr>
      </w:pPr>
      <w:r>
        <w:t>Competenze in materia di paesaggio (esclusiva concorrente o residuale?)</w:t>
      </w:r>
    </w:p>
    <w:p w:rsidR="002B3B1B" w:rsidRDefault="002B3B1B" w:rsidP="002B3B1B">
      <w:pPr>
        <w:pStyle w:val="Paragrafoelenco"/>
        <w:numPr>
          <w:ilvl w:val="0"/>
          <w:numId w:val="1"/>
        </w:numPr>
      </w:pPr>
      <w:r>
        <w:t>Competenze della regione Sardegna in materia di paesaggio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Quali sono i tre momenti della tutela (art 3 codice Urbani)</w:t>
      </w:r>
      <w:r w:rsidR="008053B4">
        <w:t xml:space="preserve"> definizione </w:t>
      </w:r>
      <w:proofErr w:type="spellStart"/>
      <w:r w:rsidR="008053B4">
        <w:t>ditutela</w:t>
      </w:r>
      <w:proofErr w:type="spellEnd"/>
    </w:p>
    <w:p w:rsidR="002B3B1B" w:rsidRDefault="002B3B1B" w:rsidP="00305B64">
      <w:pPr>
        <w:pStyle w:val="Paragrafoelenco"/>
        <w:numPr>
          <w:ilvl w:val="0"/>
          <w:numId w:val="1"/>
        </w:numPr>
      </w:pPr>
      <w:r>
        <w:t>Valorizzazione competenza concorrente</w:t>
      </w:r>
    </w:p>
    <w:p w:rsidR="002B3B1B" w:rsidRDefault="002B3B1B" w:rsidP="00305B64">
      <w:pPr>
        <w:pStyle w:val="Paragrafoelenco"/>
        <w:numPr>
          <w:ilvl w:val="0"/>
          <w:numId w:val="1"/>
        </w:numPr>
      </w:pPr>
      <w:r>
        <w:t xml:space="preserve">Principio dominicale per la valorizzazione 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 xml:space="preserve">Articolo 6 del codice Urbani </w:t>
      </w:r>
      <w:r w:rsidR="008053B4">
        <w:t xml:space="preserve">definizione di valorizzazione </w:t>
      </w:r>
    </w:p>
    <w:p w:rsidR="002B3B1B" w:rsidRDefault="002B3B1B" w:rsidP="002B3B1B">
      <w:pPr>
        <w:pStyle w:val="Paragrafoelenco"/>
        <w:numPr>
          <w:ilvl w:val="0"/>
          <w:numId w:val="1"/>
        </w:numPr>
      </w:pPr>
      <w:r>
        <w:t>La sentenza sui locali storici del Lazio commento (considerato in fatto le posizioni di Stato e regione Lazio e considerato in diritto la decisione della Corte)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Quali sono gli istituti e i luoghi della cultura</w:t>
      </w:r>
    </w:p>
    <w:p w:rsidR="00D970ED" w:rsidRDefault="00D970ED" w:rsidP="00305B64">
      <w:pPr>
        <w:pStyle w:val="Paragrafoelenco"/>
        <w:numPr>
          <w:ilvl w:val="0"/>
          <w:numId w:val="1"/>
        </w:numPr>
      </w:pPr>
      <w:r>
        <w:t>Fruizione concetto esiste una definizione nel codice?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Definizione di museo nel codice e dell’</w:t>
      </w:r>
      <w:proofErr w:type="spellStart"/>
      <w:r>
        <w:t>icom</w:t>
      </w:r>
      <w:proofErr w:type="spellEnd"/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Modifiche alla definizione</w:t>
      </w:r>
      <w:r w:rsidR="008053B4">
        <w:t xml:space="preserve"> di museo 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Cosa si intende per combinato disposto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Tutela del paesaggio nella Costituzione</w:t>
      </w:r>
      <w:r w:rsidR="00D970ED">
        <w:t xml:space="preserve"> in quali articoli 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Art 2 del codice nozione di patrimonio culturale</w:t>
      </w:r>
      <w:r w:rsidR="008053B4">
        <w:t xml:space="preserve"> e definizione</w:t>
      </w:r>
    </w:p>
    <w:p w:rsidR="00305B64" w:rsidRDefault="00D970ED" w:rsidP="00305B64">
      <w:pPr>
        <w:pStyle w:val="Paragrafoelenco"/>
        <w:numPr>
          <w:ilvl w:val="0"/>
          <w:numId w:val="1"/>
        </w:numPr>
      </w:pPr>
      <w:r>
        <w:t xml:space="preserve"> Art 9 della costituzione (significato con art. 33 e con art 32)</w:t>
      </w:r>
    </w:p>
    <w:p w:rsidR="002B3B1B" w:rsidRDefault="002B3B1B" w:rsidP="002B3B1B">
      <w:pPr>
        <w:pStyle w:val="Paragrafoelenco"/>
        <w:numPr>
          <w:ilvl w:val="0"/>
          <w:numId w:val="1"/>
        </w:numPr>
      </w:pPr>
      <w:r w:rsidRPr="002B3B1B">
        <w:t>Commento all’art 9 della Costituzione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Testimonianza materiale avente valore di civiltà a chi si deve questa espressione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Testimonianza avente valore di civiltà</w:t>
      </w:r>
      <w:r w:rsidR="00D970ED">
        <w:t xml:space="preserve"> dove ritroviamo questa espressione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 xml:space="preserve">Nozione di bene culturale aperta </w:t>
      </w:r>
      <w:r w:rsidR="008053B4">
        <w:t xml:space="preserve">art 2 codice 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Lo sviluppo sostenibile</w:t>
      </w:r>
      <w:r w:rsidR="00D970ED">
        <w:t xml:space="preserve"> </w:t>
      </w:r>
    </w:p>
    <w:p w:rsidR="00D970ED" w:rsidRDefault="00D970ED" w:rsidP="00305B64">
      <w:pPr>
        <w:pStyle w:val="Paragrafoelenco"/>
        <w:numPr>
          <w:ilvl w:val="0"/>
          <w:numId w:val="1"/>
        </w:numPr>
      </w:pPr>
      <w:r>
        <w:t>Il protocollo di intesa fra ministero ambiente e paesaggio</w:t>
      </w:r>
    </w:p>
    <w:p w:rsidR="00D970ED" w:rsidRDefault="00D970ED" w:rsidP="00305B64">
      <w:pPr>
        <w:pStyle w:val="Paragrafoelenco"/>
        <w:numPr>
          <w:ilvl w:val="0"/>
          <w:numId w:val="1"/>
        </w:numPr>
      </w:pPr>
      <w:r>
        <w:t>Inserimento delle tecnologie per l’energia pulita e rinnovabile nel paesaggio e negli edifici storici</w:t>
      </w:r>
    </w:p>
    <w:p w:rsidR="008053B4" w:rsidRDefault="008053B4" w:rsidP="00305B64">
      <w:pPr>
        <w:pStyle w:val="Paragrafoelenco"/>
        <w:numPr>
          <w:ilvl w:val="0"/>
          <w:numId w:val="1"/>
        </w:numPr>
      </w:pPr>
      <w:r>
        <w:t>La posizione della giurisprudenza (sentenza tar citata nelle</w:t>
      </w:r>
      <w:bookmarkStart w:id="0" w:name="_GoBack"/>
      <w:bookmarkEnd w:id="0"/>
      <w:r>
        <w:t xml:space="preserve"> </w:t>
      </w:r>
      <w:proofErr w:type="spellStart"/>
      <w:r>
        <w:t>slides</w:t>
      </w:r>
      <w:proofErr w:type="spellEnd"/>
      <w:r>
        <w:t>)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La sostenibilità e l’accessibilità nei musei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I livelli essenziali delle prestazioni art 117 lettera m) competenza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Il dm sugli standard museali sulla base di quale articolo del codice</w:t>
      </w:r>
      <w:r w:rsidR="00D970ED">
        <w:t xml:space="preserve"> è stato emanato</w:t>
      </w:r>
    </w:p>
    <w:p w:rsidR="00305B64" w:rsidRDefault="00D970ED" w:rsidP="00305B64">
      <w:pPr>
        <w:pStyle w:val="Paragrafoelenco"/>
        <w:numPr>
          <w:ilvl w:val="0"/>
          <w:numId w:val="1"/>
        </w:numPr>
      </w:pPr>
      <w:r>
        <w:t>Art 3 della costit</w:t>
      </w:r>
      <w:r w:rsidR="00305B64">
        <w:t xml:space="preserve">uzione e accessibilità agli istituti e luoghi della cultura 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I servizi accessori art 117 del codice</w:t>
      </w:r>
    </w:p>
    <w:p w:rsidR="00305B64" w:rsidRDefault="00305B64" w:rsidP="00305B64">
      <w:pPr>
        <w:pStyle w:val="Paragrafoelenco"/>
        <w:numPr>
          <w:ilvl w:val="0"/>
          <w:numId w:val="1"/>
        </w:numPr>
      </w:pPr>
      <w:r>
        <w:t>L’accesso agli istituti e luoghi della cultura è sempre a pagamento</w:t>
      </w:r>
      <w:r w:rsidR="00D970ED">
        <w:t>?</w:t>
      </w:r>
    </w:p>
    <w:p w:rsidR="00305B64" w:rsidRDefault="0070404A" w:rsidP="00305B64">
      <w:pPr>
        <w:pStyle w:val="Paragrafoelenco"/>
        <w:numPr>
          <w:ilvl w:val="0"/>
          <w:numId w:val="1"/>
        </w:numPr>
      </w:pPr>
      <w:r>
        <w:t>Il museo espleta un servizio pubblico essenziale secondo il codice o secondo una legge</w:t>
      </w:r>
      <w:r w:rsidR="00D970ED">
        <w:t xml:space="preserve"> completare il ragionamento secondo l’art 9</w:t>
      </w:r>
    </w:p>
    <w:p w:rsidR="00D970ED" w:rsidRDefault="00D970ED" w:rsidP="00305B64">
      <w:pPr>
        <w:pStyle w:val="Paragrafoelenco"/>
        <w:numPr>
          <w:ilvl w:val="0"/>
          <w:numId w:val="1"/>
        </w:numPr>
      </w:pPr>
      <w:r>
        <w:t xml:space="preserve">Evoluzione del concetto di paesaggio </w:t>
      </w:r>
    </w:p>
    <w:p w:rsidR="00D970ED" w:rsidRDefault="00D970ED" w:rsidP="00305B64">
      <w:pPr>
        <w:pStyle w:val="Paragrafoelenco"/>
        <w:numPr>
          <w:ilvl w:val="0"/>
          <w:numId w:val="1"/>
        </w:numPr>
      </w:pPr>
      <w:r>
        <w:t>Evoluzione del concetto di bene culturale</w:t>
      </w:r>
    </w:p>
    <w:p w:rsidR="00D970ED" w:rsidRDefault="00D970ED" w:rsidP="00305B64">
      <w:pPr>
        <w:pStyle w:val="Paragrafoelenco"/>
        <w:numPr>
          <w:ilvl w:val="0"/>
          <w:numId w:val="1"/>
        </w:numPr>
      </w:pPr>
      <w:r>
        <w:lastRenderedPageBreak/>
        <w:t>Che cosa è un ecomuseo</w:t>
      </w:r>
    </w:p>
    <w:p w:rsidR="00D970ED" w:rsidRDefault="00D970ED" w:rsidP="00305B64">
      <w:pPr>
        <w:pStyle w:val="Paragrafoelenco"/>
        <w:numPr>
          <w:ilvl w:val="0"/>
          <w:numId w:val="1"/>
        </w:numPr>
      </w:pPr>
      <w:r>
        <w:t>L’ecomuseo fa parte degli istituti e luoghi della cultura di cui all’art. 101 del codice</w:t>
      </w:r>
      <w:r w:rsidR="002B3B1B">
        <w:t>?</w:t>
      </w:r>
    </w:p>
    <w:p w:rsidR="002B3B1B" w:rsidRDefault="002B3B1B" w:rsidP="00305B64">
      <w:pPr>
        <w:pStyle w:val="Paragrafoelenco"/>
        <w:numPr>
          <w:ilvl w:val="0"/>
          <w:numId w:val="1"/>
        </w:numPr>
      </w:pPr>
      <w:r>
        <w:t>Norme di principi sulla fruizione negli istituti e luoghi della cultura di cui all’art. 101 del codice</w:t>
      </w:r>
    </w:p>
    <w:sectPr w:rsidR="002B3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F001A"/>
    <w:multiLevelType w:val="hybridMultilevel"/>
    <w:tmpl w:val="557CDF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64"/>
    <w:rsid w:val="002B3B1B"/>
    <w:rsid w:val="00305B64"/>
    <w:rsid w:val="0070404A"/>
    <w:rsid w:val="008053B4"/>
    <w:rsid w:val="00AB0EF6"/>
    <w:rsid w:val="00D96D4F"/>
    <w:rsid w:val="00D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5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2020-11-19T15:51:00Z</dcterms:created>
  <dcterms:modified xsi:type="dcterms:W3CDTF">2020-11-20T09:35:00Z</dcterms:modified>
</cp:coreProperties>
</file>