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2C7" w:rsidRDefault="00B97587">
      <w:r>
        <w:t xml:space="preserve">Prova di autoverifica legislazione n. 2 </w:t>
      </w:r>
    </w:p>
    <w:p w:rsidR="00B97587" w:rsidRDefault="00B97587" w:rsidP="00B97587">
      <w:pPr>
        <w:pStyle w:val="Paragrafoelenco"/>
        <w:numPr>
          <w:ilvl w:val="0"/>
          <w:numId w:val="1"/>
        </w:numPr>
      </w:pPr>
      <w:r>
        <w:t>La posizione delle convenzioni nella gerarchia delle fonti (art 117 comma1)</w:t>
      </w:r>
    </w:p>
    <w:p w:rsidR="00B97587" w:rsidRDefault="00B97587" w:rsidP="00B97587">
      <w:pPr>
        <w:pStyle w:val="Paragrafoelenco"/>
        <w:numPr>
          <w:ilvl w:val="0"/>
          <w:numId w:val="1"/>
        </w:numPr>
      </w:pPr>
      <w:r>
        <w:t>Come si legge una Convenzione</w:t>
      </w:r>
    </w:p>
    <w:p w:rsidR="00B97587" w:rsidRDefault="00B97587" w:rsidP="00B97587">
      <w:pPr>
        <w:pStyle w:val="Paragrafoelenco"/>
        <w:numPr>
          <w:ilvl w:val="0"/>
          <w:numId w:val="1"/>
        </w:numPr>
      </w:pPr>
      <w:r>
        <w:t>Significato del preambolo nelle convenzioni in generale</w:t>
      </w:r>
    </w:p>
    <w:p w:rsidR="00B97587" w:rsidRDefault="00B97587" w:rsidP="00B97587">
      <w:pPr>
        <w:pStyle w:val="Paragrafoelenco"/>
        <w:numPr>
          <w:ilvl w:val="0"/>
          <w:numId w:val="1"/>
        </w:numPr>
      </w:pPr>
      <w:r>
        <w:t>Convenzione Unesco immaterialità del 2003</w:t>
      </w:r>
    </w:p>
    <w:p w:rsidR="00B97587" w:rsidRDefault="00B97587">
      <w:r>
        <w:t>4 a) Soggetto proponente della Convenzione Unesco del 2003</w:t>
      </w:r>
    </w:p>
    <w:p w:rsidR="00B97587" w:rsidRDefault="00B97587">
      <w:r>
        <w:t>4 b) Oggetto della convenzione</w:t>
      </w:r>
    </w:p>
    <w:p w:rsidR="00B97587" w:rsidRDefault="00B97587">
      <w:r>
        <w:t>4 c) Definizione di bene immateriale nella convenzione</w:t>
      </w:r>
    </w:p>
    <w:p w:rsidR="00B97587" w:rsidRDefault="00B97587">
      <w:r>
        <w:t>4 d) Esclusioni tre tipologie (qualche esempio)</w:t>
      </w:r>
    </w:p>
    <w:p w:rsidR="00B97587" w:rsidRDefault="00B97587">
      <w:r>
        <w:t>4 e) Quante liste sono previste nella convenzione?</w:t>
      </w:r>
    </w:p>
    <w:p w:rsidR="00B97587" w:rsidRDefault="00B97587">
      <w:r>
        <w:t>4 f) Norme vincolanti immediatamente</w:t>
      </w:r>
    </w:p>
    <w:p w:rsidR="00B97587" w:rsidRDefault="00B97587">
      <w:r>
        <w:t>4 g) Norme da esplicitare</w:t>
      </w:r>
    </w:p>
    <w:p w:rsidR="00B97587" w:rsidRDefault="00B97587" w:rsidP="00B97587">
      <w:pPr>
        <w:pStyle w:val="Paragrafoelenco"/>
        <w:numPr>
          <w:ilvl w:val="0"/>
          <w:numId w:val="1"/>
        </w:numPr>
      </w:pPr>
      <w:r>
        <w:t>La legge della regione Lombardia come intende dare attuazione alla convenzione dell</w:t>
      </w:r>
      <w:r w:rsidR="00022B91">
        <w:t>’U</w:t>
      </w:r>
      <w:r>
        <w:t>nesco del 2003 ?</w:t>
      </w:r>
    </w:p>
    <w:p w:rsidR="00B97587" w:rsidRDefault="00B97587" w:rsidP="00B97587">
      <w:r>
        <w:t>5 a)Cosa è il REIL?</w:t>
      </w:r>
    </w:p>
    <w:p w:rsidR="00B97587" w:rsidRDefault="00B97587" w:rsidP="00B97587">
      <w:pPr>
        <w:pStyle w:val="Paragrafoelenco"/>
        <w:numPr>
          <w:ilvl w:val="0"/>
          <w:numId w:val="1"/>
        </w:numPr>
      </w:pPr>
      <w:r>
        <w:t>Come intende l’Italia organizzarsi per predisporre gli inventari?</w:t>
      </w:r>
    </w:p>
    <w:p w:rsidR="00B97587" w:rsidRDefault="00B97587" w:rsidP="00B97587">
      <w:r>
        <w:t>6 a)Cosa è il progetto PACI?</w:t>
      </w:r>
    </w:p>
    <w:p w:rsidR="00B97587" w:rsidRDefault="00B97587" w:rsidP="00B97587">
      <w:pPr>
        <w:pStyle w:val="Paragrafoelenco"/>
        <w:numPr>
          <w:ilvl w:val="0"/>
          <w:numId w:val="1"/>
        </w:numPr>
      </w:pPr>
      <w:r>
        <w:t>Art 10 del codice</w:t>
      </w:r>
    </w:p>
    <w:p w:rsidR="00B97587" w:rsidRDefault="00B97587" w:rsidP="00B97587">
      <w:r>
        <w:t>Struttura dell’art 10 da quanti commi è costituito?</w:t>
      </w:r>
    </w:p>
    <w:p w:rsidR="00B97587" w:rsidRDefault="00022B91" w:rsidP="00B97587">
      <w:r>
        <w:t xml:space="preserve">7 a) </w:t>
      </w:r>
      <w:r w:rsidR="00B97587">
        <w:t>Cosa dice il comma 1?</w:t>
      </w:r>
    </w:p>
    <w:p w:rsidR="00B97587" w:rsidRDefault="00022B91" w:rsidP="00B97587">
      <w:r>
        <w:t xml:space="preserve">7 b) </w:t>
      </w:r>
      <w:r w:rsidR="00B97587">
        <w:t xml:space="preserve">Cosa dice il comma 2? </w:t>
      </w:r>
    </w:p>
    <w:p w:rsidR="00B97587" w:rsidRDefault="00022B91" w:rsidP="00B97587">
      <w:r>
        <w:t xml:space="preserve">7 c) </w:t>
      </w:r>
      <w:r w:rsidR="00B97587">
        <w:t>Cosa dice il comma 3?</w:t>
      </w:r>
    </w:p>
    <w:p w:rsidR="00B97587" w:rsidRDefault="00022B91" w:rsidP="00B97587">
      <w:r>
        <w:t xml:space="preserve">7 d) </w:t>
      </w:r>
      <w:r w:rsidR="00B97587">
        <w:t>Cosa dice il comma 1 in combinato disposto con il comma 5?</w:t>
      </w:r>
    </w:p>
    <w:p w:rsidR="00B97587" w:rsidRDefault="00022B91" w:rsidP="00B97587">
      <w:r>
        <w:t xml:space="preserve">7 e) </w:t>
      </w:r>
      <w:r w:rsidR="00B97587">
        <w:t xml:space="preserve">Quali sono i beni culturali </w:t>
      </w:r>
      <w:r w:rsidR="00B97587" w:rsidRPr="00022B91">
        <w:rPr>
          <w:i/>
        </w:rPr>
        <w:t xml:space="preserve">ex </w:t>
      </w:r>
      <w:proofErr w:type="spellStart"/>
      <w:r w:rsidR="00B97587" w:rsidRPr="00022B91">
        <w:rPr>
          <w:i/>
        </w:rPr>
        <w:t>lege</w:t>
      </w:r>
      <w:proofErr w:type="spellEnd"/>
      <w:r w:rsidR="00B97587">
        <w:t>? Art 10 comma 2</w:t>
      </w:r>
    </w:p>
    <w:p w:rsidR="00B97587" w:rsidRDefault="00022B91" w:rsidP="00B97587">
      <w:r>
        <w:t xml:space="preserve">7 f) </w:t>
      </w:r>
      <w:r w:rsidR="00B97587">
        <w:t>Cosa si intende presunzione di culturalità? (art 10 comma 1, in combinato disposto con il comma 5 e con il comma 1 dell’art 12)</w:t>
      </w:r>
    </w:p>
    <w:p w:rsidR="00022B91" w:rsidRDefault="00022B91" w:rsidP="00022B91">
      <w:pPr>
        <w:pStyle w:val="Paragrafoelenco"/>
        <w:numPr>
          <w:ilvl w:val="0"/>
          <w:numId w:val="1"/>
        </w:numPr>
      </w:pPr>
      <w:r>
        <w:t>Art 12 verifica dell’interesse culturale è una procedura che si applica ai beni che appartengono al pubblico o ai privati?</w:t>
      </w:r>
    </w:p>
    <w:p w:rsidR="00022B91" w:rsidRDefault="00022B91" w:rsidP="00022B91">
      <w:pPr>
        <w:pStyle w:val="Paragrafoelenco"/>
        <w:numPr>
          <w:ilvl w:val="0"/>
          <w:numId w:val="1"/>
        </w:numPr>
      </w:pPr>
      <w:r>
        <w:t>Art 13 del codice dichiarazione di interesse culturale si applica solo ai privati o anche a certe tipologie di beni a chiunque appartenenti? Vedi art 10 comma 3 e le diverse lettere</w:t>
      </w:r>
    </w:p>
    <w:p w:rsidR="00022B91" w:rsidRDefault="00022B91" w:rsidP="00022B91">
      <w:pPr>
        <w:pStyle w:val="Paragrafoelenco"/>
        <w:numPr>
          <w:ilvl w:val="0"/>
          <w:numId w:val="1"/>
        </w:numPr>
      </w:pPr>
      <w:r>
        <w:t>Art 11 del codice come si intitola?</w:t>
      </w:r>
    </w:p>
    <w:p w:rsidR="00022B91" w:rsidRDefault="00022B91" w:rsidP="00B97587">
      <w:r>
        <w:t>10 a) Quali tipologie di beni disciplina?</w:t>
      </w:r>
    </w:p>
    <w:p w:rsidR="00022B91" w:rsidRDefault="00022B91" w:rsidP="00B97587">
      <w:r>
        <w:lastRenderedPageBreak/>
        <w:t>10 b) Quali sono le norme di tutela che si applicano a ciascuna tipologia di beni?</w:t>
      </w:r>
    </w:p>
    <w:p w:rsidR="00022B91" w:rsidRDefault="00022B91" w:rsidP="00B97587">
      <w:r>
        <w:t>10 c) Cosa sono gli studi d’artista</w:t>
      </w:r>
    </w:p>
    <w:p w:rsidR="00022B91" w:rsidRDefault="00022B91" w:rsidP="00B97587">
      <w:r>
        <w:t>10 d) Cosa si intende per arte contemporanea</w:t>
      </w:r>
      <w:r w:rsidR="00FF7879">
        <w:t>, cosa dice Monti in merito al rapporto fra art 9 e 33 della Cost.</w:t>
      </w:r>
      <w:bookmarkStart w:id="0" w:name="_GoBack"/>
      <w:bookmarkEnd w:id="0"/>
    </w:p>
    <w:p w:rsidR="00022B91" w:rsidRDefault="00022B91" w:rsidP="00B97587">
      <w:r>
        <w:t xml:space="preserve">         11 La vetustà del bene a quali fini interessa?</w:t>
      </w:r>
    </w:p>
    <w:p w:rsidR="00022B91" w:rsidRDefault="00022B91" w:rsidP="00B97587">
      <w:r>
        <w:t xml:space="preserve">        12 Perché nell’articolo 10 al comma 5 si richiede la morte dell’autore dell’opera?</w:t>
      </w:r>
    </w:p>
    <w:p w:rsidR="00022B91" w:rsidRDefault="00022B91" w:rsidP="00B97587">
      <w:r>
        <w:t xml:space="preserve">        13 Nella procedura di individuazione del bene culturale sia nell’art 12 che 13 l’amministrazione quale tipo di discrezionalità utilizza? Amministrativa o tecnica?</w:t>
      </w:r>
    </w:p>
    <w:p w:rsidR="00022B91" w:rsidRDefault="00022B91" w:rsidP="00B97587">
      <w:r>
        <w:t xml:space="preserve">      14 )  Se l’amministrazione competente constata nel bene la presenza delle caratteristiche richieste dalla legge e l’interesse di volta in volta richiesto, deve comparare con altri interessi pubblici e /o privati coinvolti o deve procedere con la dichiarazione di interesse culturale e quindi vincolare il bene alle norme di tutela?</w:t>
      </w:r>
    </w:p>
    <w:p w:rsidR="00FF7879" w:rsidRDefault="00FF7879" w:rsidP="00B97587">
      <w:r>
        <w:t xml:space="preserve">      15)  La sentenza del Consiglio di Stato sulla Madonna di Apricena ha ad oggetto un bene pubblico o privato?</w:t>
      </w:r>
    </w:p>
    <w:p w:rsidR="00FF7879" w:rsidRDefault="00FF7879" w:rsidP="00B97587">
      <w:r>
        <w:t xml:space="preserve">    16) Cosa ti ha colpito della sentenza e come la commenteresti?</w:t>
      </w:r>
    </w:p>
    <w:p w:rsidR="00022B91" w:rsidRDefault="00022B91" w:rsidP="00B97587"/>
    <w:p w:rsidR="00022B91" w:rsidRDefault="00022B91" w:rsidP="00B97587"/>
    <w:p w:rsidR="00B97587" w:rsidRDefault="00B97587" w:rsidP="00B97587"/>
    <w:p w:rsidR="00B97587" w:rsidRDefault="00B97587" w:rsidP="00B97587"/>
    <w:p w:rsidR="00B97587" w:rsidRDefault="00B97587"/>
    <w:sectPr w:rsidR="00B975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84070"/>
    <w:multiLevelType w:val="hybridMultilevel"/>
    <w:tmpl w:val="908E2A62"/>
    <w:lvl w:ilvl="0" w:tplc="0410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6D6F5B"/>
    <w:multiLevelType w:val="hybridMultilevel"/>
    <w:tmpl w:val="A80665EE"/>
    <w:lvl w:ilvl="0" w:tplc="D3946FA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32777C"/>
    <w:multiLevelType w:val="hybridMultilevel"/>
    <w:tmpl w:val="C50CF2D6"/>
    <w:lvl w:ilvl="0" w:tplc="F26E2CF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0D1886"/>
    <w:multiLevelType w:val="hybridMultilevel"/>
    <w:tmpl w:val="A1966F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587"/>
    <w:rsid w:val="00022B91"/>
    <w:rsid w:val="00B97587"/>
    <w:rsid w:val="00D142C7"/>
    <w:rsid w:val="00FF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975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97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2020-12-02T11:56:00Z</dcterms:created>
  <dcterms:modified xsi:type="dcterms:W3CDTF">2020-12-02T12:21:00Z</dcterms:modified>
</cp:coreProperties>
</file>