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B1C07" w14:textId="77777777" w:rsidR="000B63D8" w:rsidRDefault="000B63D8" w:rsidP="000B63D8">
      <w:pPr>
        <w:widowControl w:val="0"/>
        <w:autoSpaceDE w:val="0"/>
        <w:autoSpaceDN w:val="0"/>
        <w:adjustRightInd w:val="0"/>
        <w:jc w:val="center"/>
        <w:rPr>
          <w:rFonts w:ascii="Times" w:hAnsi="Times" w:cs="Times"/>
        </w:rPr>
      </w:pPr>
      <w:r>
        <w:rPr>
          <w:rFonts w:ascii="Times" w:hAnsi="Times" w:cs="Times"/>
        </w:rPr>
        <w:t>Sent. 162/2014</w:t>
      </w:r>
    </w:p>
    <w:p w14:paraId="1A6F3DFE" w14:textId="77777777" w:rsidR="000B63D8" w:rsidRDefault="000B63D8" w:rsidP="000B63D8">
      <w:pPr>
        <w:widowControl w:val="0"/>
        <w:autoSpaceDE w:val="0"/>
        <w:autoSpaceDN w:val="0"/>
        <w:adjustRightInd w:val="0"/>
        <w:jc w:val="center"/>
        <w:rPr>
          <w:rFonts w:ascii="Times" w:hAnsi="Times" w:cs="Times"/>
        </w:rPr>
      </w:pPr>
    </w:p>
    <w:p w14:paraId="38AA0015" w14:textId="77777777" w:rsidR="000B63D8" w:rsidRPr="000B63D8" w:rsidRDefault="000B63D8" w:rsidP="000B63D8">
      <w:pPr>
        <w:widowControl w:val="0"/>
        <w:autoSpaceDE w:val="0"/>
        <w:autoSpaceDN w:val="0"/>
        <w:adjustRightInd w:val="0"/>
        <w:jc w:val="center"/>
        <w:rPr>
          <w:rFonts w:ascii="Times New Roman" w:hAnsi="Times New Roman" w:cs="Times New Roman"/>
        </w:rPr>
      </w:pPr>
      <w:r w:rsidRPr="000B63D8">
        <w:rPr>
          <w:rFonts w:ascii="Times" w:hAnsi="Times" w:cs="Times"/>
        </w:rPr>
        <w:t>REPUBBLICA ITALIANA</w:t>
      </w:r>
    </w:p>
    <w:p w14:paraId="6CD1F20E" w14:textId="77777777" w:rsidR="000B63D8" w:rsidRDefault="000B63D8" w:rsidP="000B63D8">
      <w:pPr>
        <w:widowControl w:val="0"/>
        <w:autoSpaceDE w:val="0"/>
        <w:autoSpaceDN w:val="0"/>
        <w:adjustRightInd w:val="0"/>
        <w:jc w:val="center"/>
        <w:rPr>
          <w:rFonts w:ascii="Times" w:hAnsi="Times" w:cs="Times"/>
        </w:rPr>
      </w:pPr>
      <w:r w:rsidRPr="000B63D8">
        <w:rPr>
          <w:rFonts w:ascii="Times" w:hAnsi="Times" w:cs="Times"/>
        </w:rPr>
        <w:t>IN NOME DEL POPOLO ITALIANO</w:t>
      </w:r>
    </w:p>
    <w:p w14:paraId="4D3FE76A" w14:textId="77777777" w:rsidR="000B63D8" w:rsidRPr="000B63D8" w:rsidRDefault="000B63D8" w:rsidP="000B63D8">
      <w:pPr>
        <w:widowControl w:val="0"/>
        <w:autoSpaceDE w:val="0"/>
        <w:autoSpaceDN w:val="0"/>
        <w:adjustRightInd w:val="0"/>
        <w:jc w:val="center"/>
        <w:rPr>
          <w:rFonts w:ascii="Times New Roman" w:hAnsi="Times New Roman" w:cs="Times New Roman"/>
        </w:rPr>
      </w:pPr>
    </w:p>
    <w:p w14:paraId="279DAFBE" w14:textId="77777777" w:rsidR="000B63D8" w:rsidRPr="000B63D8" w:rsidRDefault="000B63D8" w:rsidP="000B63D8">
      <w:pPr>
        <w:widowControl w:val="0"/>
        <w:autoSpaceDE w:val="0"/>
        <w:autoSpaceDN w:val="0"/>
        <w:adjustRightInd w:val="0"/>
        <w:rPr>
          <w:rFonts w:ascii="Times New Roman" w:hAnsi="Times New Roman" w:cs="Times New Roman"/>
        </w:rPr>
      </w:pPr>
      <w:r w:rsidRPr="000B63D8">
        <w:rPr>
          <w:rFonts w:ascii="Times" w:hAnsi="Times" w:cs="Times"/>
        </w:rPr>
        <w:t>LA CORTE COSTITUZIONALE</w:t>
      </w:r>
    </w:p>
    <w:p w14:paraId="676BC484" w14:textId="77777777" w:rsidR="000B63D8" w:rsidRPr="000B63D8" w:rsidRDefault="000B63D8" w:rsidP="000B63D8">
      <w:pPr>
        <w:widowControl w:val="0"/>
        <w:autoSpaceDE w:val="0"/>
        <w:autoSpaceDN w:val="0"/>
        <w:adjustRightInd w:val="0"/>
        <w:rPr>
          <w:rFonts w:ascii="Times New Roman" w:hAnsi="Times New Roman" w:cs="Times New Roman"/>
        </w:rPr>
      </w:pPr>
      <w:r w:rsidRPr="000B63D8">
        <w:rPr>
          <w:rFonts w:ascii="Times" w:hAnsi="Times" w:cs="Times"/>
        </w:rPr>
        <w:t>composta dai signori:</w:t>
      </w:r>
    </w:p>
    <w:p w14:paraId="2C5EFA82"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Gaetano                       SILVESTRI                                   Presidente</w:t>
      </w:r>
    </w:p>
    <w:p w14:paraId="52BD1F0C"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Luigi                            MAZZELLA                                  Giudice</w:t>
      </w:r>
    </w:p>
    <w:p w14:paraId="3C5CF6B0"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Sabino                         CASSESE                                            </w:t>
      </w:r>
      <w:r w:rsidRPr="000B63D8">
        <w:rPr>
          <w:rFonts w:ascii="Times New Roman" w:hAnsi="Times New Roman" w:cs="Times New Roman"/>
        </w:rPr>
        <w:t>”</w:t>
      </w:r>
    </w:p>
    <w:p w14:paraId="557083EB"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Giuseppe                     TESAURO                                           </w:t>
      </w:r>
      <w:r w:rsidRPr="000B63D8">
        <w:rPr>
          <w:rFonts w:ascii="Times New Roman" w:hAnsi="Times New Roman" w:cs="Times New Roman"/>
        </w:rPr>
        <w:t>”</w:t>
      </w:r>
    </w:p>
    <w:p w14:paraId="5881C13C"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Paolo Maria                 NAPOLITANO                                   </w:t>
      </w:r>
      <w:r w:rsidRPr="000B63D8">
        <w:rPr>
          <w:rFonts w:ascii="Times New Roman" w:hAnsi="Times New Roman" w:cs="Times New Roman"/>
        </w:rPr>
        <w:t>”</w:t>
      </w:r>
    </w:p>
    <w:p w14:paraId="04DF0619"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Giuseppe                     FRIGO                                                 </w:t>
      </w:r>
      <w:r w:rsidRPr="000B63D8">
        <w:rPr>
          <w:rFonts w:ascii="Times New Roman" w:hAnsi="Times New Roman" w:cs="Times New Roman"/>
        </w:rPr>
        <w:t>”</w:t>
      </w:r>
    </w:p>
    <w:p w14:paraId="7AF9A4C0"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Alessandro                  CRISCUOLO                                      </w:t>
      </w:r>
      <w:r w:rsidRPr="000B63D8">
        <w:rPr>
          <w:rFonts w:ascii="Times New Roman" w:hAnsi="Times New Roman" w:cs="Times New Roman"/>
        </w:rPr>
        <w:t>”</w:t>
      </w:r>
    </w:p>
    <w:p w14:paraId="56325861"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Paolo                           GROSSI                                               </w:t>
      </w:r>
      <w:r w:rsidRPr="000B63D8">
        <w:rPr>
          <w:rFonts w:ascii="Times New Roman" w:hAnsi="Times New Roman" w:cs="Times New Roman"/>
        </w:rPr>
        <w:t>”</w:t>
      </w:r>
    </w:p>
    <w:p w14:paraId="64755A2D"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Giorgio                        LATTANZI                                          </w:t>
      </w:r>
      <w:r w:rsidRPr="000B63D8">
        <w:rPr>
          <w:rFonts w:ascii="Times New Roman" w:hAnsi="Times New Roman" w:cs="Times New Roman"/>
        </w:rPr>
        <w:t>”</w:t>
      </w:r>
    </w:p>
    <w:p w14:paraId="0511617E"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Aldo                            CAROSI                                               </w:t>
      </w:r>
      <w:r w:rsidRPr="000B63D8">
        <w:rPr>
          <w:rFonts w:ascii="Times New Roman" w:hAnsi="Times New Roman" w:cs="Times New Roman"/>
        </w:rPr>
        <w:t>”</w:t>
      </w:r>
    </w:p>
    <w:p w14:paraId="06D5DCE5"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Marta                           CARTABIA                                         </w:t>
      </w:r>
      <w:r w:rsidRPr="000B63D8">
        <w:rPr>
          <w:rFonts w:ascii="Times New Roman" w:hAnsi="Times New Roman" w:cs="Times New Roman"/>
        </w:rPr>
        <w:t>”</w:t>
      </w:r>
    </w:p>
    <w:p w14:paraId="5587E08E"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Sergio                          MATTARELLA                                   </w:t>
      </w:r>
      <w:r w:rsidRPr="000B63D8">
        <w:rPr>
          <w:rFonts w:ascii="Times New Roman" w:hAnsi="Times New Roman" w:cs="Times New Roman"/>
        </w:rPr>
        <w:t>”</w:t>
      </w:r>
    </w:p>
    <w:p w14:paraId="58BE9D99"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Mario Rosario              MORELLI                                            </w:t>
      </w:r>
      <w:r w:rsidRPr="000B63D8">
        <w:rPr>
          <w:rFonts w:ascii="Times New Roman" w:hAnsi="Times New Roman" w:cs="Times New Roman"/>
        </w:rPr>
        <w:t>”</w:t>
      </w:r>
    </w:p>
    <w:p w14:paraId="23B0D3A5"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Giancarlo                     CORAGGIO                                        </w:t>
      </w:r>
      <w:r w:rsidRPr="000B63D8">
        <w:rPr>
          <w:rFonts w:ascii="Times New Roman" w:hAnsi="Times New Roman" w:cs="Times New Roman"/>
        </w:rPr>
        <w:t>”</w:t>
      </w:r>
    </w:p>
    <w:p w14:paraId="51B42B58" w14:textId="77777777" w:rsidR="000B63D8" w:rsidRPr="00AA2CEC" w:rsidRDefault="000B63D8" w:rsidP="000B63D8">
      <w:pPr>
        <w:widowControl w:val="0"/>
        <w:autoSpaceDE w:val="0"/>
        <w:autoSpaceDN w:val="0"/>
        <w:adjustRightInd w:val="0"/>
        <w:jc w:val="both"/>
        <w:rPr>
          <w:rFonts w:ascii="Times" w:hAnsi="Times" w:cs="Times"/>
        </w:rPr>
      </w:pPr>
      <w:r w:rsidRPr="000B63D8">
        <w:rPr>
          <w:rFonts w:ascii="Times" w:hAnsi="Times" w:cs="Times"/>
        </w:rPr>
        <w:t>-           Giuliano                       AMATO                                               </w:t>
      </w:r>
      <w:r w:rsidRPr="000B63D8">
        <w:rPr>
          <w:rFonts w:ascii="Times New Roman" w:hAnsi="Times New Roman" w:cs="Times New Roman"/>
        </w:rPr>
        <w:t>”</w:t>
      </w:r>
    </w:p>
    <w:p w14:paraId="07EFB6F9" w14:textId="77777777" w:rsidR="000B63D8" w:rsidRPr="000B63D8" w:rsidRDefault="000B63D8" w:rsidP="000B63D8">
      <w:pPr>
        <w:widowControl w:val="0"/>
        <w:autoSpaceDE w:val="0"/>
        <w:autoSpaceDN w:val="0"/>
        <w:adjustRightInd w:val="0"/>
        <w:rPr>
          <w:rFonts w:ascii="Times New Roman" w:hAnsi="Times New Roman" w:cs="Times New Roman"/>
        </w:rPr>
      </w:pPr>
      <w:r w:rsidRPr="000B63D8">
        <w:rPr>
          <w:rFonts w:ascii="Times" w:hAnsi="Times" w:cs="Times"/>
        </w:rPr>
        <w:t>ha pronunciato la seguente</w:t>
      </w:r>
    </w:p>
    <w:p w14:paraId="124B266E" w14:textId="77777777" w:rsidR="000B63D8" w:rsidRPr="000B63D8" w:rsidRDefault="000B63D8" w:rsidP="000B63D8">
      <w:pPr>
        <w:widowControl w:val="0"/>
        <w:autoSpaceDE w:val="0"/>
        <w:autoSpaceDN w:val="0"/>
        <w:adjustRightInd w:val="0"/>
        <w:jc w:val="center"/>
        <w:rPr>
          <w:rFonts w:ascii="Times New Roman" w:hAnsi="Times New Roman" w:cs="Times New Roman"/>
        </w:rPr>
      </w:pPr>
      <w:r w:rsidRPr="000B63D8">
        <w:rPr>
          <w:rFonts w:ascii="Times" w:hAnsi="Times" w:cs="Times"/>
        </w:rPr>
        <w:t>SENTENZA</w:t>
      </w:r>
    </w:p>
    <w:p w14:paraId="680E17BC"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rPr>
        <w:t xml:space="preserve">nei giudizi di legittimità costituzionale degli artt. 4, comma 3, 9, commi 1 e 3, e 12, comma 1, della </w:t>
      </w:r>
      <w:hyperlink r:id="rId7" w:history="1">
        <w:r w:rsidRPr="000B63D8">
          <w:rPr>
            <w:rFonts w:ascii="Times" w:hAnsi="Times" w:cs="Times"/>
            <w:color w:val="0000FF"/>
            <w:u w:val="single" w:color="0000FF"/>
          </w:rPr>
          <w:t>legge 19 febbraio 2004, n. 40 (Norme in materia di procreazione medicalmente assistita)</w:t>
        </w:r>
      </w:hyperlink>
      <w:r w:rsidRPr="000B63D8">
        <w:rPr>
          <w:rFonts w:ascii="Times" w:hAnsi="Times" w:cs="Times"/>
        </w:rPr>
        <w:t xml:space="preserve">, promossi dal </w:t>
      </w:r>
      <w:hyperlink r:id="rId8" w:history="1">
        <w:r w:rsidRPr="000B63D8">
          <w:rPr>
            <w:rFonts w:ascii="Times" w:hAnsi="Times" w:cs="Times"/>
            <w:color w:val="0000FF"/>
            <w:u w:val="single" w:color="0000FF"/>
          </w:rPr>
          <w:t>Tribunale ordinario di Milano con ordinanza dell’8 aprile 2013</w:t>
        </w:r>
      </w:hyperlink>
      <w:r w:rsidRPr="000B63D8">
        <w:rPr>
          <w:rFonts w:ascii="Times" w:hAnsi="Times" w:cs="Times"/>
        </w:rPr>
        <w:t xml:space="preserve">, dal </w:t>
      </w:r>
      <w:hyperlink r:id="rId9" w:history="1">
        <w:r w:rsidRPr="000B63D8">
          <w:rPr>
            <w:rFonts w:ascii="Times" w:hAnsi="Times" w:cs="Times"/>
            <w:color w:val="0000FF"/>
            <w:u w:val="single" w:color="0000FF"/>
          </w:rPr>
          <w:t>Tribunale ordinario di Firenze con ordinanza del 29 marzo 2013</w:t>
        </w:r>
      </w:hyperlink>
      <w:r w:rsidRPr="000B63D8">
        <w:rPr>
          <w:rFonts w:ascii="Times" w:hAnsi="Times" w:cs="Times"/>
        </w:rPr>
        <w:t xml:space="preserve"> e dal </w:t>
      </w:r>
      <w:hyperlink r:id="rId10" w:history="1">
        <w:r w:rsidRPr="000B63D8">
          <w:rPr>
            <w:rFonts w:ascii="Times" w:hAnsi="Times" w:cs="Times"/>
            <w:color w:val="0000FF"/>
            <w:u w:val="single" w:color="0000FF"/>
          </w:rPr>
          <w:t>Tribunale ordinario di Catania con ordinanza del 13 aprile 2013</w:t>
        </w:r>
      </w:hyperlink>
      <w:r w:rsidRPr="000B63D8">
        <w:rPr>
          <w:rFonts w:ascii="Times" w:hAnsi="Times" w:cs="Times"/>
        </w:rPr>
        <w:t xml:space="preserve">, rispettivamente iscritte ai nn. 135, 213 e 240 del registro ordinanze 2013 e pubblicate nella </w:t>
      </w:r>
      <w:r w:rsidRPr="000B63D8">
        <w:rPr>
          <w:rFonts w:ascii="Times" w:hAnsi="Times" w:cs="Times"/>
          <w:i/>
          <w:iCs/>
        </w:rPr>
        <w:t xml:space="preserve">Gazzetta Ufficiale </w:t>
      </w:r>
      <w:r w:rsidRPr="000B63D8">
        <w:rPr>
          <w:rFonts w:ascii="Times" w:hAnsi="Times" w:cs="Times"/>
        </w:rPr>
        <w:t>della Repubblica nn. 24, 41 e 46, prima serie speciale, dell’anno 2013.</w:t>
      </w:r>
    </w:p>
    <w:p w14:paraId="7FB175F6"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i/>
          <w:iCs/>
        </w:rPr>
        <w:t xml:space="preserve">            Visti </w:t>
      </w:r>
      <w:r w:rsidRPr="000B63D8">
        <w:rPr>
          <w:rFonts w:ascii="Times" w:hAnsi="Times" w:cs="Times"/>
        </w:rPr>
        <w:t>gli atti di costituzione di P.E. ed altro, di C.P. ed altro, di V.A. e della società cooperativa UMR–Unità di Medicina della Riproduzione, nonchè gli atti di intervento della Associazione Luca Coscioni per la libertà di ricerca scientifica ed altri, della Associazione Vox–Osservatorio italiano sui diritti e del Presidente del Consiglio dei ministri;</w:t>
      </w:r>
    </w:p>
    <w:p w14:paraId="5607696F"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i/>
          <w:iCs/>
        </w:rPr>
        <w:t xml:space="preserve">            udito </w:t>
      </w:r>
      <w:r w:rsidRPr="000B63D8">
        <w:rPr>
          <w:rFonts w:ascii="Times" w:hAnsi="Times" w:cs="Times"/>
        </w:rPr>
        <w:t>nell’udienza pubblica dell’8 aprile 2014 il Giudice relatore Giuseppe Tesauro;</w:t>
      </w:r>
    </w:p>
    <w:p w14:paraId="7564A5F5"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w:hAnsi="Times" w:cs="Times"/>
          <w:i/>
          <w:iCs/>
        </w:rPr>
        <w:t xml:space="preserve">            uditi </w:t>
      </w:r>
      <w:r w:rsidRPr="000B63D8">
        <w:rPr>
          <w:rFonts w:ascii="Times" w:hAnsi="Times" w:cs="Times"/>
        </w:rPr>
        <w:t>gli avvocati Filomena Gallo e Gianni Baldini per l’Associazione Luca Coscioni per la libertà di ricerca scientifica ed altri, Marilisa D’Amico, Maria Paola Costantini e Massimo Clara per P.E. ed altro, per C.P. ed altro e per V.A., Maria Paola Costantini e Massimo Clara per la società cooperativa UMR–Unità di Medicina della Riproduzione e l’avvocato dello Stato Gabriella Palmieri per il Presidente del Consiglio dei ministri.</w:t>
      </w:r>
    </w:p>
    <w:p w14:paraId="313F91A7" w14:textId="77777777" w:rsidR="00AA2CEC" w:rsidRDefault="00AA2CEC" w:rsidP="000B63D8">
      <w:pPr>
        <w:widowControl w:val="0"/>
        <w:autoSpaceDE w:val="0"/>
        <w:autoSpaceDN w:val="0"/>
        <w:adjustRightInd w:val="0"/>
        <w:rPr>
          <w:rFonts w:ascii="Times New Roman" w:hAnsi="Times New Roman" w:cs="Times New Roman"/>
          <w:i/>
          <w:iCs/>
        </w:rPr>
      </w:pPr>
    </w:p>
    <w:p w14:paraId="6EC39200" w14:textId="77777777" w:rsidR="000B63D8" w:rsidRPr="000B63D8" w:rsidRDefault="000B63D8" w:rsidP="00AA2CEC">
      <w:pPr>
        <w:widowControl w:val="0"/>
        <w:autoSpaceDE w:val="0"/>
        <w:autoSpaceDN w:val="0"/>
        <w:adjustRightInd w:val="0"/>
        <w:jc w:val="center"/>
        <w:rPr>
          <w:rFonts w:ascii="Times New Roman" w:hAnsi="Times New Roman" w:cs="Times New Roman"/>
        </w:rPr>
      </w:pPr>
      <w:r w:rsidRPr="000B63D8">
        <w:rPr>
          <w:rFonts w:ascii="Times New Roman" w:hAnsi="Times New Roman" w:cs="Times New Roman"/>
          <w:i/>
          <w:iCs/>
        </w:rPr>
        <w:t>Ritenuto in fatto</w:t>
      </w:r>
    </w:p>
    <w:p w14:paraId="5FC4FE23" w14:textId="77777777" w:rsidR="000B63D8" w:rsidRPr="000B63D8" w:rsidRDefault="000B63D8" w:rsidP="00AA2CEC">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 xml:space="preserve">1.– Il Tribunale ordinario di Milano, il Tribunale ordinario di Firenze ed il Tribunale ordinario di Catania, con ordinanze dell’8 aprile, del 29 marzo e del 13 aprile 2013, hanno sollevato, in riferimento agli </w:t>
      </w:r>
      <w:hyperlink r:id="rId11" w:history="1">
        <w:r w:rsidRPr="000B63D8">
          <w:rPr>
            <w:rFonts w:ascii="Times New Roman" w:hAnsi="Times New Roman" w:cs="Times New Roman"/>
            <w:color w:val="0000FF"/>
            <w:u w:val="single" w:color="0000FF"/>
          </w:rPr>
          <w:t>artt. 3 Cost</w:t>
        </w:r>
      </w:hyperlink>
      <w:r w:rsidRPr="000B63D8">
        <w:rPr>
          <w:rFonts w:ascii="Times New Roman" w:hAnsi="Times New Roman" w:cs="Times New Roman"/>
        </w:rPr>
        <w:t xml:space="preserve">. (tutte le ordinanze), </w:t>
      </w:r>
      <w:hyperlink r:id="rId12" w:history="1">
        <w:r w:rsidRPr="000B63D8">
          <w:rPr>
            <w:rFonts w:ascii="Times New Roman" w:hAnsi="Times New Roman" w:cs="Times New Roman"/>
            <w:color w:val="0000FF"/>
            <w:u w:val="single" w:color="0000FF"/>
          </w:rPr>
          <w:t>2</w:t>
        </w:r>
      </w:hyperlink>
      <w:r w:rsidRPr="000B63D8">
        <w:rPr>
          <w:rFonts w:ascii="Times New Roman" w:hAnsi="Times New Roman" w:cs="Times New Roman"/>
        </w:rPr>
        <w:t xml:space="preserve">, </w:t>
      </w:r>
      <w:hyperlink r:id="rId13" w:history="1">
        <w:r w:rsidRPr="000B63D8">
          <w:rPr>
            <w:rFonts w:ascii="Times New Roman" w:hAnsi="Times New Roman" w:cs="Times New Roman"/>
            <w:color w:val="0000FF"/>
            <w:u w:val="single" w:color="0000FF"/>
          </w:rPr>
          <w:t>31</w:t>
        </w:r>
      </w:hyperlink>
      <w:r w:rsidRPr="000B63D8">
        <w:rPr>
          <w:rFonts w:ascii="Times New Roman" w:hAnsi="Times New Roman" w:cs="Times New Roman"/>
        </w:rPr>
        <w:t xml:space="preserve"> e </w:t>
      </w:r>
      <w:hyperlink r:id="rId14" w:history="1">
        <w:r w:rsidRPr="000B63D8">
          <w:rPr>
            <w:rFonts w:ascii="Times New Roman" w:hAnsi="Times New Roman" w:cs="Times New Roman"/>
            <w:color w:val="0000FF"/>
            <w:u w:val="single" w:color="0000FF"/>
          </w:rPr>
          <w:t>32 Cost</w:t>
        </w:r>
      </w:hyperlink>
      <w:r w:rsidRPr="000B63D8">
        <w:rPr>
          <w:rFonts w:ascii="Times New Roman" w:hAnsi="Times New Roman" w:cs="Times New Roman"/>
        </w:rPr>
        <w:t xml:space="preserve">. (la prima e la terza ordinanza), nonché (la prima ordinanza) agli artt. </w:t>
      </w:r>
      <w:hyperlink r:id="rId15" w:history="1">
        <w:r w:rsidRPr="000B63D8">
          <w:rPr>
            <w:rFonts w:ascii="Times New Roman" w:hAnsi="Times New Roman" w:cs="Times New Roman"/>
            <w:color w:val="0000FF"/>
            <w:u w:val="single" w:color="0000FF"/>
          </w:rPr>
          <w:t>29</w:t>
        </w:r>
      </w:hyperlink>
      <w:r w:rsidRPr="000B63D8">
        <w:rPr>
          <w:rFonts w:ascii="Times New Roman" w:hAnsi="Times New Roman" w:cs="Times New Roman"/>
        </w:rPr>
        <w:t xml:space="preserve"> e </w:t>
      </w:r>
      <w:hyperlink r:id="rId16" w:history="1">
        <w:r w:rsidRPr="000B63D8">
          <w:rPr>
            <w:rFonts w:ascii="Times New Roman" w:hAnsi="Times New Roman" w:cs="Times New Roman"/>
            <w:color w:val="0000FF"/>
            <w:u w:val="single" w:color="0000FF"/>
          </w:rPr>
          <w:t>117, primo comma, Cost</w:t>
        </w:r>
      </w:hyperlink>
      <w:r w:rsidRPr="000B63D8">
        <w:rPr>
          <w:rFonts w:ascii="Times New Roman" w:hAnsi="Times New Roman" w:cs="Times New Roman"/>
        </w:rPr>
        <w:t xml:space="preserve">., in relazione agli artt. 8 e 14 della </w:t>
      </w:r>
      <w:hyperlink r:id="rId17" w:history="1">
        <w:r w:rsidRPr="000B63D8">
          <w:rPr>
            <w:rFonts w:ascii="Times New Roman" w:hAnsi="Times New Roman" w:cs="Times New Roman"/>
            <w:color w:val="0000FF"/>
            <w:u w:val="single" w:color="0000FF"/>
          </w:rPr>
          <w:t>Convenzione per la salvaguardia dei diritti dell’uomo e delle libertà fondamentali, firmata a Roma il 4 novembre 1950, ratificata e resa esecutiva con la legge 4 agosto 1955, n. 848 (d’ora in avanti: CEDU)</w:t>
        </w:r>
      </w:hyperlink>
      <w:r w:rsidRPr="000B63D8">
        <w:rPr>
          <w:rFonts w:ascii="Times New Roman" w:hAnsi="Times New Roman" w:cs="Times New Roman"/>
        </w:rPr>
        <w:t xml:space="preserve">, questioni di legittimità costituzionale dell’art. 4, comma 3, della legge 19 febbraio 2004, n. 40 (Norme in materia di procreazione medicalmente assistita) (tutte le ordinanze) e degli artt. 9, commi 1 e 3, limitatamente alle parole «in violazione del divieto di cui all’articolo 4, comma </w:t>
      </w:r>
      <w:r w:rsidRPr="000B63D8">
        <w:rPr>
          <w:rFonts w:ascii="Times New Roman" w:hAnsi="Times New Roman" w:cs="Times New Roman"/>
        </w:rPr>
        <w:lastRenderedPageBreak/>
        <w:t>3», e 12, comma 1, di detta legge (la prima e la terza ordinanza).</w:t>
      </w:r>
    </w:p>
    <w:p w14:paraId="23567389"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(omissis)</w:t>
      </w:r>
    </w:p>
    <w:p w14:paraId="469B1B0C" w14:textId="77777777" w:rsidR="000B63D8" w:rsidRPr="000B63D8" w:rsidRDefault="000B63D8" w:rsidP="000B63D8">
      <w:pPr>
        <w:widowControl w:val="0"/>
        <w:autoSpaceDE w:val="0"/>
        <w:autoSpaceDN w:val="0"/>
        <w:adjustRightInd w:val="0"/>
        <w:jc w:val="center"/>
        <w:rPr>
          <w:rFonts w:ascii="Times New Roman" w:hAnsi="Times New Roman" w:cs="Times New Roman"/>
        </w:rPr>
      </w:pPr>
      <w:r w:rsidRPr="000B63D8">
        <w:rPr>
          <w:rFonts w:ascii="Times New Roman" w:hAnsi="Times New Roman" w:cs="Times New Roman"/>
          <w:i/>
          <w:iCs/>
        </w:rPr>
        <w:t>Considerato in diritto</w:t>
      </w:r>
    </w:p>
    <w:p w14:paraId="476971C0" w14:textId="77777777" w:rsidR="000B63D8" w:rsidRPr="000B63D8" w:rsidRDefault="000B63D8" w:rsidP="00AA2CEC">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1.– Il Tribunale ordinario di Milano, il Tribunale ordinario di Firenze ed il Tribunale ordinario di Catania hanno sollevato, in riferimento agli artt. 3 Cost. (tutte e tre le ordinanze), 2, 31 e 32 Cost. (la prima e la terza ordinanza), nonché (la prima ordinanza) agli artt. 29 e 117, primo comma, Cost., in relazione agli artt. 8 e 14 della Convenzione per la salvaguardia dei diritti dell’uomo e delle libertà fondamentali, firmata a Roma il 4 novembre 1950, ratificata e resa esecutiva con la legge 4 agosto 1955, n. 848 (di seguito: CEDU), questioni di legittimità costituzionale dell’art. 4, comma 3, della legge 19 febbraio 2004, n. 40 (Norme in materia di procreazione medicalmente assistita) (tutte le ordinanze) e degli artt. 9, commi 1 e 3, limitatamente alle parole «in violazione del divieto di cui all’articolo 4, comma 3», e 12, comma 1, di detta legge (la prima e la terza ordinanza).</w:t>
      </w:r>
    </w:p>
    <w:p w14:paraId="333DBD2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La legge n. 40 del 2004 reca norme in materia di procreazione medicalmente assistita (</w:t>
      </w:r>
      <w:r w:rsidRPr="000B63D8">
        <w:rPr>
          <w:rFonts w:ascii="Times New Roman" w:hAnsi="Times New Roman" w:cs="Times New Roman"/>
          <w:i/>
          <w:iCs/>
        </w:rPr>
        <w:t>infra</w:t>
      </w:r>
      <w:r w:rsidRPr="000B63D8">
        <w:rPr>
          <w:rFonts w:ascii="Times New Roman" w:hAnsi="Times New Roman" w:cs="Times New Roman"/>
        </w:rPr>
        <w:t>: PMA) e permette, «Al fine di favorire la soluzione dei problemi riproduttivi derivanti dalla sterilità o dalla infertilità umana», il ricorso alla PMA, alle condizioni e secondo le modalità previste dalla stessa (art. 1). L’art. 4, comma 3, di detta legge stabilisce che «È vietato il ricorso a tecniche di procreazione medicalmente assistita di tipo eterologo»; l’art. 9, concernente il «Divieto del disconoscimento della paternità e dell’anonimato della madre», dispone, in primo luogo, che, «Qualora si ricorra a tecniche di procreazione medicalmente assistita di tipo eterologo in violazione del divieto di cui all’articolo 4, comma 3, il coniuge o il convivente il cui consenso è ricavabile da atti concludenti non può esercitare l’azione di disconoscimento della paternità nei casi previsti dall’articolo 235, primo comma, numeri 1) e 2), del codice civile, né l’impugnazione di cui all’articolo 263 dello stesso codice» (comma 1); in secondo luogo, prevede che, «In caso di applicazione di tecniche di tipo eterologo in violazione del divieto di cui all’articolo 4, comma 3, il donatore di gameti non acquisisce alcuna relazione giuridica parentale con il nato e non può far valere nei suoi confronti alcun diritto né essere titolare di obblighi» (comma 3). L’art. 12, comma 1, stabilisce, infine, che «Chiunque a qualsiasi titolo utilizza a fini procreativi gameti di soggetti estranei alla coppia richiedente, in violazione di quanto previsto dall’articolo 4, comma 3, è punito con la sanzione amministrativa pecuniaria da 300.000 a 600.000 euro».</w:t>
      </w:r>
    </w:p>
    <w:p w14:paraId="628E31F2"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2.– Secondo tutti i rimettenti, il citato art. 4, comma 3, si porrebbe in contrasto con l’art. 3 Cost., in quanto, avendo la legge n. 40 del 2004 lo scopo di «favorire la soluzione dei problemi riproduttivi derivanti dalla sterilità o dalla infertilità umana», il divieto dallo stesso stabilito realizzerebbe un diverso trattamento delle coppie affette da sterilità o da infertilità, nonostante esse versino in situazioni sostanzialmente omologhe e, quindi, debbano avere l’eguale possibilità di ricorrere alla tecnica più utile di PMA, al fine di porre rimedio alla patologia dalla quale sono affette.</w:t>
      </w:r>
    </w:p>
    <w:p w14:paraId="041EF44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Ad avviso del Tribunale ordinario di Milano, tutte le norme censurate recherebbero </w:t>
      </w:r>
      <w:r w:rsidRPr="000B63D8">
        <w:rPr>
          <w:rFonts w:ascii="Times New Roman" w:hAnsi="Times New Roman" w:cs="Times New Roman"/>
          <w:i/>
          <w:iCs/>
        </w:rPr>
        <w:t>vulnus</w:t>
      </w:r>
      <w:r w:rsidRPr="000B63D8">
        <w:rPr>
          <w:rFonts w:ascii="Times New Roman" w:hAnsi="Times New Roman" w:cs="Times New Roman"/>
        </w:rPr>
        <w:t xml:space="preserve"> anche agli artt. 2, 29 e 31 Cost., in quanto – benché il primo di detti parametri riconosca e tuteli il diritto alla formazione della famiglia (oggetto anche del secondo parametro) – non garantiscono alle coppie colpite da sterilità o infertilità assoluta ed irreversibile il diritto fondamentale alla piena realizzazione della vita privata familiare e di autodeterminazione in ordine alla medesima, con pregiudizio, secondo il Tribunale ordinario di Catania, per le coppie colpite dalla patologia più grave, del diritto di formare una famiglia e costruire liberamente la propria esistenza. Per entrambi i rimettenti, la considerazione che il divieto in esame non tuteli l’integrità fisica e psichica di dette coppie e che in materia di pratica terapeutica la regola debba essere l’autonomia e la responsabilità del medico, il quale, con il consenso del paziente, effettua le necessarie scelte professionali, evidenzierebbe il contrasto delle disposizioni con gli artt. 3 e 32 Cost.</w:t>
      </w:r>
    </w:p>
    <w:p w14:paraId="328DCF5D"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Sotto un ulteriore profilo, secondo il Tribunale ordinario di Catania, gli artt. 2 e 31 Cost. sarebbero lesi, poiché la soluzione dei problemi riproduttivi della coppia sarebbe riconducibile al diritto fondamentale alla maternità/paternità e le norme censurate avrebbero realizzato un irragionevole bilanciamento del diritto alla salute della madre biologica e della madre genetica, del diritto costituzionalmente protetto alla formazione della famiglia e dei diritti del nascituro, anche in considerazione del carattere ipotetico dell’eventuale sofferenza psicologica provocata dalla mancata conoscenza della propria origine genetica e dell’esistenza di un istituto quale l’adozione, che ammette le relazioni parentali atipiche.</w:t>
      </w:r>
    </w:p>
    <w:p w14:paraId="0558E387"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Il Tribunale ordinario di Milano censura, infine, le norme sopra indicate, in riferimento all’art. 117, primo comma, Cost., in relazione al combinato disposto degli artt. 8 e 14 della CEDU, approfondendo gli argomenti che, a suo avviso, dimostrerebbero l’esistenza di siffatto contrasto anche avendo riguardo alla </w:t>
      </w:r>
      <w:hyperlink r:id="rId18" w:history="1">
        <w:r w:rsidRPr="000B63D8">
          <w:rPr>
            <w:rFonts w:ascii="Times New Roman" w:hAnsi="Times New Roman" w:cs="Times New Roman"/>
            <w:color w:val="0000FF"/>
            <w:u w:val="single" w:color="0000FF"/>
          </w:rPr>
          <w:t>sentenza della Grande Camera della Corte europea dei diritti dell’uomo 3 novembre 2011, S.H. e altri contro Austria</w:t>
        </w:r>
      </w:hyperlink>
      <w:r w:rsidRPr="000B63D8">
        <w:rPr>
          <w:rFonts w:ascii="Times New Roman" w:hAnsi="Times New Roman" w:cs="Times New Roman"/>
        </w:rPr>
        <w:t>.</w:t>
      </w:r>
    </w:p>
    <w:p w14:paraId="3E1D631F" w14:textId="77777777" w:rsidR="000B63D8" w:rsidRPr="000B63D8" w:rsidRDefault="000B63D8" w:rsidP="00AA2CEC">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3.– </w:t>
      </w:r>
      <w:r w:rsidR="00AA2CEC">
        <w:rPr>
          <w:rFonts w:ascii="Times New Roman" w:hAnsi="Times New Roman" w:cs="Times New Roman"/>
        </w:rPr>
        <w:t>(OMISSIS)</w:t>
      </w:r>
    </w:p>
    <w:p w14:paraId="08707521"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3.1.– Le questioni di legittimità costituzionale oggetto di scrutinio costituiscono una nuova proposizione di quelle, in parte analoghe, sollevate dai giudici </w:t>
      </w:r>
      <w:r w:rsidRPr="000B63D8">
        <w:rPr>
          <w:rFonts w:ascii="Times New Roman" w:hAnsi="Times New Roman" w:cs="Times New Roman"/>
          <w:i/>
          <w:iCs/>
        </w:rPr>
        <w:t>a quibus</w:t>
      </w:r>
      <w:r w:rsidRPr="000B63D8">
        <w:rPr>
          <w:rFonts w:ascii="Times New Roman" w:hAnsi="Times New Roman" w:cs="Times New Roman"/>
        </w:rPr>
        <w:t xml:space="preserve"> nel corso dei medesimi processi principali, decise da questa Corte con l’</w:t>
      </w:r>
      <w:hyperlink r:id="rId19" w:history="1">
        <w:r w:rsidRPr="000B63D8">
          <w:rPr>
            <w:rFonts w:ascii="Times New Roman" w:hAnsi="Times New Roman" w:cs="Times New Roman"/>
            <w:color w:val="0000FF"/>
            <w:u w:val="single" w:color="0000FF"/>
          </w:rPr>
          <w:t>ordinanza n. 150 del 2012</w:t>
        </w:r>
      </w:hyperlink>
      <w:r w:rsidRPr="000B63D8">
        <w:rPr>
          <w:rFonts w:ascii="Times New Roman" w:hAnsi="Times New Roman" w:cs="Times New Roman"/>
        </w:rPr>
        <w:t xml:space="preserve"> che – dopo averle ritenute ammissibili – ha disposto la restituzione degli atti, per un rinnovato esame delle stesse, alla luce della sopravvenuta </w:t>
      </w:r>
      <w:hyperlink r:id="rId20" w:history="1">
        <w:r w:rsidRPr="000B63D8">
          <w:rPr>
            <w:rFonts w:ascii="Times New Roman" w:hAnsi="Times New Roman" w:cs="Times New Roman"/>
            <w:color w:val="0000FF"/>
            <w:u w:val="single" w:color="0000FF"/>
          </w:rPr>
          <w:t>sentenza della Grande Camera della Corte europea dei diritti dell’uomo 3 novembre 2011, S.H. e altri c. Austria</w:t>
        </w:r>
      </w:hyperlink>
      <w:r w:rsidRPr="000B63D8">
        <w:rPr>
          <w:rFonts w:ascii="Times New Roman" w:hAnsi="Times New Roman" w:cs="Times New Roman"/>
        </w:rPr>
        <w:t>.</w:t>
      </w:r>
      <w:r w:rsidR="00AA2CEC">
        <w:rPr>
          <w:rFonts w:ascii="Times New Roman" w:hAnsi="Times New Roman" w:cs="Times New Roman"/>
        </w:rPr>
        <w:t xml:space="preserve"> (OMISSIS)</w:t>
      </w:r>
      <w:bookmarkStart w:id="0" w:name="_GoBack"/>
      <w:bookmarkEnd w:id="0"/>
    </w:p>
    <w:p w14:paraId="5D4A36CC" w14:textId="77777777" w:rsidR="000B63D8" w:rsidRPr="000B63D8" w:rsidRDefault="000B63D8" w:rsidP="00AA2CEC">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3.2.– </w:t>
      </w:r>
      <w:r w:rsidR="00AA2CEC">
        <w:rPr>
          <w:rFonts w:ascii="Times New Roman" w:hAnsi="Times New Roman" w:cs="Times New Roman"/>
        </w:rPr>
        <w:t>(OMISSIS)</w:t>
      </w:r>
    </w:p>
    <w:p w14:paraId="032518B7"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4.– Nel merito, le questioni sollevate in riferimento agli artt. 2, 3, 29, 31 e 32 Cost. sono fondate nei termini di seguito precisati.</w:t>
      </w:r>
    </w:p>
    <w:p w14:paraId="4131C779"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5.– Lo scrutinio delle censure va effettuato, avendo riguardo congiuntamente a tutti questi parametri, poiché la procreazione medicalmente assistita coinvolge «plurime esigenze costituzionali» (</w:t>
      </w:r>
      <w:hyperlink r:id="rId21" w:history="1">
        <w:r w:rsidRPr="000B63D8">
          <w:rPr>
            <w:rFonts w:ascii="Times New Roman" w:hAnsi="Times New Roman" w:cs="Times New Roman"/>
            <w:color w:val="0000FF"/>
            <w:u w:val="single" w:color="0000FF"/>
          </w:rPr>
          <w:t>sentenza n. 347 del 1998</w:t>
        </w:r>
      </w:hyperlink>
      <w:r w:rsidRPr="000B63D8">
        <w:rPr>
          <w:rFonts w:ascii="Times New Roman" w:hAnsi="Times New Roman" w:cs="Times New Roman"/>
        </w:rPr>
        <w:t>) e, conseguentemente, la legge n. 40 del 2004 incide su una molteplicità di interessi di tale rango. Questi, nel loro complesso, richiedono «un bilanciamento tra di essi che assicuri un livello minimo di tutela legislativa» ad ognuno (</w:t>
      </w:r>
      <w:hyperlink r:id="rId22" w:history="1">
        <w:r w:rsidRPr="000B63D8">
          <w:rPr>
            <w:rFonts w:ascii="Times New Roman" w:hAnsi="Times New Roman" w:cs="Times New Roman"/>
            <w:color w:val="0000FF"/>
            <w:u w:val="single" w:color="0000FF"/>
          </w:rPr>
          <w:t>sentenza n. 45 del 2005</w:t>
        </w:r>
      </w:hyperlink>
      <w:r w:rsidRPr="000B63D8">
        <w:rPr>
          <w:rFonts w:ascii="Times New Roman" w:hAnsi="Times New Roman" w:cs="Times New Roman"/>
        </w:rPr>
        <w:t>), avendo, infatti, questa Corte già affermato che la stessa «tutela dell’embrione non è comunque assoluta, ma limitata dalla necessità di individuare un giusto bilanciamento con la tutela delle esigenze di procreazione» (</w:t>
      </w:r>
      <w:hyperlink r:id="rId23" w:history="1">
        <w:r w:rsidRPr="000B63D8">
          <w:rPr>
            <w:rFonts w:ascii="Times New Roman" w:hAnsi="Times New Roman" w:cs="Times New Roman"/>
            <w:color w:val="0000FF"/>
            <w:u w:val="single" w:color="0000FF"/>
          </w:rPr>
          <w:t>sentenza n. 151 del 2009</w:t>
        </w:r>
      </w:hyperlink>
      <w:r w:rsidRPr="000B63D8">
        <w:rPr>
          <w:rFonts w:ascii="Times New Roman" w:hAnsi="Times New Roman" w:cs="Times New Roman"/>
        </w:rPr>
        <w:t>).</w:t>
      </w:r>
    </w:p>
    <w:p w14:paraId="2DBE4022"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Le questioni toccano temi eticamente sensibili, in relazione ai quali l’individuazione di un ragionevole punto di equilibrio delle contrapposte esigenze, nel rispetto della dignità della persona umana, appartiene «primariamente alla valutazione del legislatore» (</w:t>
      </w:r>
      <w:hyperlink r:id="rId24" w:history="1">
        <w:r w:rsidRPr="000B63D8">
          <w:rPr>
            <w:rFonts w:ascii="Times New Roman" w:hAnsi="Times New Roman" w:cs="Times New Roman"/>
            <w:color w:val="0000FF"/>
            <w:u w:val="single" w:color="0000FF"/>
          </w:rPr>
          <w:t>sentenza n. 347 del 1998</w:t>
        </w:r>
      </w:hyperlink>
      <w:r w:rsidRPr="000B63D8">
        <w:rPr>
          <w:rFonts w:ascii="Times New Roman" w:hAnsi="Times New Roman" w:cs="Times New Roman"/>
        </w:rPr>
        <w:t>), ma resta ferma la sindacabilità della stessa, al fine di verificare se sia stato realizzato un non irragionevole bilanciamento di quelle esigenze e dei valori ai quali si ispirano. Il divieto in esame non costituisce, peraltro, il frutto di una scelta consolidata nel tempo, in quanto è stato introdotto nel nostro ordinamento giuridico proprio dal censurato art. 4, comma 3. Anteriormente, l’applicazione delle tecniche di fecondazione eterologa era, infatti, «lecita […] ed ammessa senza limiti né soggettivi né oggettivi» e, nell’anno 1997, era praticata da 75 centri privati (Relazione della XII Commissione permanente della Camera dei deputati presentata il 14 luglio 1998 sulle proposte di legge n. 414, n. 616 e n. 816, presentate nel corso della XII legislatura). Tali centri operavano nel quadro delle circolari del Ministro della sanità del 1° marzo 1985 (Limiti e condizioni di legittimità dei servizi per l’inseminazione artificiale nell’ambito del Servizio sanitario nazionale), del 27 aprile 1987 (Misure di prevenzione della trasmissione del virus HIV e di altri agenti patogeni attraverso il seme umano impiegato per fecondazione artificiale) e del 10 aprile 1992 (Misure di prevenzione della trasmissione dell’HIV e di altri agenti patogeni nella donazione di liquido seminale impiegato per fecondazione assistita umana e nella donazione d’organo, di tessuto e di midollo osseo), nonché dell’ordinanza dello stesso Ministero del 5 marzo 1997, recante «Divieto di commercializzazione e di pubblicità di gameti ed embrioni umani» (avente efficacia temporalmente limitata, poi prorogata per ulteriori novanta giorni da una successiva ordinanza del 4 giugno 1997).</w:t>
      </w:r>
    </w:p>
    <w:p w14:paraId="76AF144B"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Il primo di tali atti vietava, infatti, esclusivamente la possibilità di praticare la PMA eterologa all’interno di strutture del Servizio sanitario nazionale; il secondo aveva, invece, avuto cura di stabilire i protocolli per l’utilizzazione del seme «per le inseminazioni eterologhe», dettando altresì le regole di approntamento dello schedario delle coppie che si sottoponevano a tale pratica e dei donatori di gameti, nonché della tipologia di accertamenti da svolgere su questi ultimi; il terzo aveva ulteriormente specificato la disciplina concernente le modalità di raccolta, preparazione e crioconservazione del liquido seminale dei donatori, nonché dello </w:t>
      </w:r>
      <w:r w:rsidRPr="000B63D8">
        <w:rPr>
          <w:rFonts w:ascii="Times New Roman" w:hAnsi="Times New Roman" w:cs="Times New Roman"/>
          <w:i/>
          <w:iCs/>
        </w:rPr>
        <w:t>screening</w:t>
      </w:r>
      <w:r w:rsidRPr="000B63D8">
        <w:rPr>
          <w:rFonts w:ascii="Times New Roman" w:hAnsi="Times New Roman" w:cs="Times New Roman"/>
        </w:rPr>
        <w:t xml:space="preserve"> cui doveva essere sottoposta la donna ricevente la donazione, «al fine di tutelare l’eventuale nascituro»; il quarto aveva, infine, vietato «ogni forma di remunerazione, diretta o indiretta, immediata o differita, in denaro od in qualsiasi altra forma per la cessione di gameti, embrioni o, comunque, di materiale genetico», nonché ogni forma di intermediazione commerciale finalizzata a tale cessione, disponendo l’obbligo da parte dei centri che la praticavano di comunicare taluni dati al Ministero della sanità.</w:t>
      </w:r>
    </w:p>
    <w:p w14:paraId="35AA6713"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Siffatto divieto neppure è, poi, conseguito ad obblighi derivanti da atti internazionali, dato che, come già è stato puntualizzato da questa Corte, la sua eliminazione in nessun modo ed in nessun punto viola i principi posti dalla Convenzione di Oviedo del 4 aprile 1997 (che solo vieta la PMA a fini selettivi ed eugenetici e, peraltro, è ancora priva degli strumenti di attuazione) e dal Protocollo addizionale del 12 gennaio 1998, n. 168, sul divieto di clonazione di esseri umani, recepiti nel nostro ordinamento con la legge di adattamento 28 marzo 2001, n. 145 (Ratifica della Convenzione di Oviedo) (</w:t>
      </w:r>
      <w:hyperlink r:id="rId25" w:history="1">
        <w:r w:rsidRPr="000B63D8">
          <w:rPr>
            <w:rFonts w:ascii="Times New Roman" w:hAnsi="Times New Roman" w:cs="Times New Roman"/>
            <w:color w:val="0000FF"/>
            <w:u w:val="single" w:color="0000FF"/>
          </w:rPr>
          <w:t>sentenza n. 49 del 2005</w:t>
        </w:r>
      </w:hyperlink>
      <w:r w:rsidRPr="000B63D8">
        <w:rPr>
          <w:rFonts w:ascii="Times New Roman" w:hAnsi="Times New Roman" w:cs="Times New Roman"/>
        </w:rPr>
        <w:t>).</w:t>
      </w:r>
    </w:p>
    <w:p w14:paraId="6541180B"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6.– Posta questa premessa, opportuna al fine della contestualizzazione del divieto in esame, occorre constatare che esso, impedendo alla coppia destinataria della legge n. 40 del 2004,  ma assolutamente sterile o infertile, di utilizzare la tecnica di PMA eterologa, è privo di adeguato fondamento costituzionale.</w:t>
      </w:r>
    </w:p>
    <w:p w14:paraId="0D445D87"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Deve anzitutto essere ribadito che la scelta di tale coppia di diventare genitori e di formare una famiglia che abbia anche dei figli costituisce espressione della fondamentale e generale libertà di autodeterminarsi, libertà che, come questa Corte ha affermato, sia pure ad altri fini ed in un ambito diverso, è riconducibile agli artt. 2, 3 e 31 Cost., poiché concerne la sfera privata e familiare. Conseguentemente, le limitazioni di tale libertà, ed in particolare un divieto assoluto imposto al suo esercizio, devono essere ragionevolmente e congruamente giustificate dall’impossibilità di tutelare altrimenti interessi di pari rango (</w:t>
      </w:r>
      <w:hyperlink r:id="rId26" w:history="1">
        <w:r w:rsidRPr="000B63D8">
          <w:rPr>
            <w:rFonts w:ascii="Times New Roman" w:hAnsi="Times New Roman" w:cs="Times New Roman"/>
            <w:color w:val="0000FF"/>
            <w:u w:val="single" w:color="0000FF"/>
          </w:rPr>
          <w:t>sentenza n. 332 del 2000</w:t>
        </w:r>
      </w:hyperlink>
      <w:r w:rsidRPr="000B63D8">
        <w:rPr>
          <w:rFonts w:ascii="Times New Roman" w:hAnsi="Times New Roman" w:cs="Times New Roman"/>
        </w:rPr>
        <w:t>). La determinazione di avere o meno un figlio, anche per la coppia assolutamente sterile o infertile, concernendo la sfera più intima ed intangibile della persona umana, non può che essere incoercibile, qualora non vulneri altri valori costituzionali, e ciò anche quando sia esercitata mediante la scelta di ricorrere a questo scopo alla tecnica di PMA di tipo eterologo, perché anch’essa attiene a questa sfera. In tal senso va ricordato che la giurisprudenza costituzionale ha sottolineato come la legge n. 40 del 2004 sia appunto preordinata alla «tutela delle esigenze di procreazione», da contemperare con ulteriori valori costituzionali, senza peraltro che sia stata riconosciuta a nessuno di essi una tutela assoluta, imponendosi un ragionevole bilanciamento tra gli stessi (</w:t>
      </w:r>
      <w:hyperlink r:id="rId27" w:history="1">
        <w:r w:rsidRPr="000B63D8">
          <w:rPr>
            <w:rFonts w:ascii="Times New Roman" w:hAnsi="Times New Roman" w:cs="Times New Roman"/>
            <w:color w:val="0000FF"/>
            <w:u w:val="single" w:color="0000FF"/>
          </w:rPr>
          <w:t>sentenza n. 151 del 2009</w:t>
        </w:r>
      </w:hyperlink>
      <w:r w:rsidRPr="000B63D8">
        <w:rPr>
          <w:rFonts w:ascii="Times New Roman" w:hAnsi="Times New Roman" w:cs="Times New Roman"/>
        </w:rPr>
        <w:t>).</w:t>
      </w:r>
    </w:p>
    <w:p w14:paraId="12C4BD5E"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Va anche osservato che la Costituzione non pone una nozione di famiglia inscindibilmente correlata alla presenza di figli (come è deducibile dalle sentenze </w:t>
      </w:r>
      <w:hyperlink r:id="rId28" w:history="1">
        <w:r w:rsidRPr="000B63D8">
          <w:rPr>
            <w:rFonts w:ascii="Times New Roman" w:hAnsi="Times New Roman" w:cs="Times New Roman"/>
            <w:color w:val="0000FF"/>
            <w:u w:val="single" w:color="0000FF"/>
          </w:rPr>
          <w:t>n. 189 del 1991</w:t>
        </w:r>
      </w:hyperlink>
      <w:r w:rsidRPr="000B63D8">
        <w:rPr>
          <w:rFonts w:ascii="Times New Roman" w:hAnsi="Times New Roman" w:cs="Times New Roman"/>
        </w:rPr>
        <w:t xml:space="preserve"> e </w:t>
      </w:r>
      <w:hyperlink r:id="rId29" w:history="1">
        <w:r w:rsidRPr="000B63D8">
          <w:rPr>
            <w:rFonts w:ascii="Times New Roman" w:hAnsi="Times New Roman" w:cs="Times New Roman"/>
            <w:color w:val="0000FF"/>
            <w:u w:val="single" w:color="0000FF"/>
          </w:rPr>
          <w:t>n. 123 del 1990</w:t>
        </w:r>
      </w:hyperlink>
      <w:r w:rsidRPr="000B63D8">
        <w:rPr>
          <w:rFonts w:ascii="Times New Roman" w:hAnsi="Times New Roman" w:cs="Times New Roman"/>
        </w:rPr>
        <w:t xml:space="preserve">). Nondimeno, il progetto di formazione di una famiglia caratterizzata dalla presenza di figli, anche indipendentemente dal dato genetico, è favorevolmente considerata dall’ordinamento giuridico, in applicazione di principi costituzionali, come dimostra la regolamentazione dell’istituto dell’adozione. La considerazione che quest’ultimo mira prevalentemente a garantire una famiglia ai minori (come affermato da questa Corte sin dalla </w:t>
      </w:r>
      <w:hyperlink r:id="rId30" w:history="1">
        <w:r w:rsidRPr="000B63D8">
          <w:rPr>
            <w:rFonts w:ascii="Times New Roman" w:hAnsi="Times New Roman" w:cs="Times New Roman"/>
            <w:color w:val="0000FF"/>
            <w:u w:val="single" w:color="0000FF"/>
          </w:rPr>
          <w:t>sentenza n. 11 del 1981</w:t>
        </w:r>
      </w:hyperlink>
      <w:r w:rsidRPr="000B63D8">
        <w:rPr>
          <w:rFonts w:ascii="Times New Roman" w:hAnsi="Times New Roman" w:cs="Times New Roman"/>
        </w:rPr>
        <w:t>) rende, comunque, evidente che il dato della provenienza genetica non costituisce un imprescindibile requisito della famiglia stessa.</w:t>
      </w:r>
    </w:p>
    <w:p w14:paraId="20A170E7"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La libertà e volontarietà dell’atto che consente di diventare genitori e di formare una famiglia, nel senso sopra precisato, di sicuro non implica che la libertà in esame possa esplicarsi senza limiti. Tuttavia, questi limiti, anche se ispirati da considerazioni e convincimenti di ordine etico, pur meritevoli di attenzione in un ambito così delicato, non possono consistere in un divieto assoluto, come già sottolineato, a meno che lo stesso non sia l’unico mezzo per tutelare altri interessi di rango costituzionale.</w:t>
      </w:r>
    </w:p>
    <w:p w14:paraId="6C7518C5"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7.– La disciplina in esame incide, inoltre, sul diritto alla salute, che, secondo la costante giurisprudenza di questa Corte, va inteso «nel significato, proprio dell’art. 32 Cost., comprensivo anche della salute pischica oltre che fisica» (</w:t>
      </w:r>
      <w:hyperlink r:id="rId31" w:history="1">
        <w:r w:rsidRPr="000B63D8">
          <w:rPr>
            <w:rFonts w:ascii="Times New Roman" w:hAnsi="Times New Roman" w:cs="Times New Roman"/>
            <w:color w:val="0000FF"/>
            <w:u w:val="single" w:color="0000FF"/>
          </w:rPr>
          <w:t>sentenza n. 251 del 2008</w:t>
        </w:r>
      </w:hyperlink>
      <w:r w:rsidRPr="000B63D8">
        <w:rPr>
          <w:rFonts w:ascii="Times New Roman" w:hAnsi="Times New Roman" w:cs="Times New Roman"/>
        </w:rPr>
        <w:t xml:space="preserve">; analogamente, sentenze </w:t>
      </w:r>
      <w:hyperlink r:id="rId32" w:history="1">
        <w:r w:rsidRPr="000B63D8">
          <w:rPr>
            <w:rFonts w:ascii="Times New Roman" w:hAnsi="Times New Roman" w:cs="Times New Roman"/>
            <w:color w:val="0000FF"/>
            <w:u w:val="single" w:color="0000FF"/>
          </w:rPr>
          <w:t>n. 113 del 2004</w:t>
        </w:r>
      </w:hyperlink>
      <w:r w:rsidRPr="000B63D8">
        <w:rPr>
          <w:rFonts w:ascii="Times New Roman" w:hAnsi="Times New Roman" w:cs="Times New Roman"/>
        </w:rPr>
        <w:t xml:space="preserve">; </w:t>
      </w:r>
      <w:hyperlink r:id="rId33" w:history="1">
        <w:r w:rsidRPr="000B63D8">
          <w:rPr>
            <w:rFonts w:ascii="Times New Roman" w:hAnsi="Times New Roman" w:cs="Times New Roman"/>
            <w:color w:val="0000FF"/>
            <w:u w:val="single" w:color="0000FF"/>
          </w:rPr>
          <w:t>n. 253 del 2003</w:t>
        </w:r>
      </w:hyperlink>
      <w:r w:rsidRPr="000B63D8">
        <w:rPr>
          <w:rFonts w:ascii="Times New Roman" w:hAnsi="Times New Roman" w:cs="Times New Roman"/>
        </w:rPr>
        <w:t>) e «la cui tutela deve essere di grado pari a quello della salute fisica» (</w:t>
      </w:r>
      <w:hyperlink r:id="rId34" w:history="1">
        <w:r w:rsidRPr="000B63D8">
          <w:rPr>
            <w:rFonts w:ascii="Times New Roman" w:hAnsi="Times New Roman" w:cs="Times New Roman"/>
            <w:color w:val="0000FF"/>
            <w:u w:val="single" w:color="0000FF"/>
          </w:rPr>
          <w:t>sentenza n. 167 del 1999</w:t>
        </w:r>
      </w:hyperlink>
      <w:r w:rsidRPr="000B63D8">
        <w:rPr>
          <w:rFonts w:ascii="Times New Roman" w:hAnsi="Times New Roman" w:cs="Times New Roman"/>
        </w:rPr>
        <w:t>). Peraltro, questa nozione corrisponde a quella sancita dall’Organizzazione Mondiale della Sanità, secondo la quale «Il possesso del migliore stato di sanità possibile costituisce un diritto fondamentale di ogni essere umano» (Atto di costituzione dell’OMS, firmato a New York il 22 luglio 1946).</w:t>
      </w:r>
    </w:p>
    <w:p w14:paraId="63442903"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In relazione a questo profilo, non sono dirimenti le differenze tra PMA di tipo omologo ed eterologo, benché soltanto la prima renda possibile la nascita di un figlio geneticamente riconducibile ad entrambi i componenti della coppia. Anche tenendo conto delle diversità che caratterizzano dette tecniche, è, infatti, certo che l’impossibilità di  formare una famiglia  con figli  insieme al proprio </w:t>
      </w:r>
      <w:r w:rsidRPr="000B63D8">
        <w:rPr>
          <w:rFonts w:ascii="Times New Roman" w:hAnsi="Times New Roman" w:cs="Times New Roman"/>
          <w:i/>
          <w:iCs/>
        </w:rPr>
        <w:t>partner</w:t>
      </w:r>
      <w:r w:rsidRPr="000B63D8">
        <w:rPr>
          <w:rFonts w:ascii="Times New Roman" w:hAnsi="Times New Roman" w:cs="Times New Roman"/>
        </w:rPr>
        <w:t>, mediante il ricorso alla PMA di tipo eterologo, possa incidere negativamente, in misura anche rilevante, sulla salute della coppia, nell’accezione che al relativo diritto deve essere data, secondo quanto sopra esposto.</w:t>
      </w:r>
    </w:p>
    <w:p w14:paraId="48E6443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In coerenza con questa nozione di diritto alla salute, deve essere, quindi, ribadito che, «per giurisprudenza costante, gli atti dispositivi del proprio corpo, quando rivolti alla tutela della salute, devono ritenersi leciti» (</w:t>
      </w:r>
      <w:hyperlink r:id="rId35" w:history="1">
        <w:r w:rsidRPr="000B63D8">
          <w:rPr>
            <w:rFonts w:ascii="Times New Roman" w:hAnsi="Times New Roman" w:cs="Times New Roman"/>
            <w:color w:val="0000FF"/>
            <w:u w:val="single" w:color="0000FF"/>
          </w:rPr>
          <w:t>sentenza n. 161 del 1985</w:t>
        </w:r>
      </w:hyperlink>
      <w:r w:rsidRPr="000B63D8">
        <w:rPr>
          <w:rFonts w:ascii="Times New Roman" w:hAnsi="Times New Roman" w:cs="Times New Roman"/>
        </w:rPr>
        <w:t>), sempre che non siano lesi altri interessi costituzionali.</w:t>
      </w:r>
    </w:p>
    <w:p w14:paraId="44D3A994"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Nel caso di patologie produttive di una disabilità – nozione che, per evidenti ragioni solidaristiche, va accolta in un’ampia accezione – la discrezionalità spettante al legislatore ordinario nell’individuare le misure a tutela di quanti ne sono affetti incontra, inoltre, il limite del «rispetto di un nucleo indefettibile di garanzie per gli interessati» (sentenze </w:t>
      </w:r>
      <w:hyperlink r:id="rId36" w:history="1">
        <w:r w:rsidRPr="000B63D8">
          <w:rPr>
            <w:rFonts w:ascii="Times New Roman" w:hAnsi="Times New Roman" w:cs="Times New Roman"/>
            <w:color w:val="0000FF"/>
            <w:u w:val="single" w:color="0000FF"/>
          </w:rPr>
          <w:t>n. 80 del 2010</w:t>
        </w:r>
      </w:hyperlink>
      <w:r w:rsidRPr="000B63D8">
        <w:rPr>
          <w:rFonts w:ascii="Times New Roman" w:hAnsi="Times New Roman" w:cs="Times New Roman"/>
        </w:rPr>
        <w:t xml:space="preserve">, </w:t>
      </w:r>
      <w:hyperlink r:id="rId37" w:history="1">
        <w:r w:rsidRPr="000B63D8">
          <w:rPr>
            <w:rFonts w:ascii="Times New Roman" w:hAnsi="Times New Roman" w:cs="Times New Roman"/>
            <w:color w:val="0000FF"/>
            <w:u w:val="single" w:color="0000FF"/>
          </w:rPr>
          <w:t>n. 251 del 2008</w:t>
        </w:r>
      </w:hyperlink>
      <w:r w:rsidRPr="000B63D8">
        <w:rPr>
          <w:rFonts w:ascii="Times New Roman" w:hAnsi="Times New Roman" w:cs="Times New Roman"/>
        </w:rPr>
        <w:t>). Un intervento sul merito delle scelte terapeutiche, in relazione alla loro appropriatezza, non può nascere da valutazioni di pura discrezionalità politica del legislatore, ma deve tenere conto anche degli indirizzi fondati sulla verifica dello stato delle conoscenze scientifiche e delle evidenze sperimentali acquisite, tramite istituzioni e organismi a ciò deputati (</w:t>
      </w:r>
      <w:hyperlink r:id="rId38" w:history="1">
        <w:r w:rsidRPr="000B63D8">
          <w:rPr>
            <w:rFonts w:ascii="Times New Roman" w:hAnsi="Times New Roman" w:cs="Times New Roman"/>
            <w:color w:val="0000FF"/>
            <w:u w:val="single" w:color="0000FF"/>
          </w:rPr>
          <w:t>sentenza n. 8 del 2011</w:t>
        </w:r>
      </w:hyperlink>
      <w:r w:rsidRPr="000B63D8">
        <w:rPr>
          <w:rFonts w:ascii="Times New Roman" w:hAnsi="Times New Roman" w:cs="Times New Roman"/>
        </w:rPr>
        <w:t>), anche in riferimento all’accertamento dell’esistenza di una lesione del diritto alla salute psichica ed alla idoneità e strumentalità  di una determinata tecnica a garantirne la tutela nei termini nei quali essa si impone alla luce della nozione sopra posta. Pertanto, va ribadito che, «in materia di pratica terapeutica, la regola di fondo deve essere la autonomia e la responsabilità del medico, che, con il consenso del paziente, opera le necessarie scelte professionali» (</w:t>
      </w:r>
      <w:hyperlink r:id="rId39" w:history="1">
        <w:r w:rsidRPr="000B63D8">
          <w:rPr>
            <w:rFonts w:ascii="Times New Roman" w:hAnsi="Times New Roman" w:cs="Times New Roman"/>
            <w:color w:val="0000FF"/>
            <w:u w:val="single" w:color="0000FF"/>
          </w:rPr>
          <w:t>sentenza n. 151 del 2009</w:t>
        </w:r>
      </w:hyperlink>
      <w:r w:rsidRPr="000B63D8">
        <w:rPr>
          <w:rFonts w:ascii="Times New Roman" w:hAnsi="Times New Roman" w:cs="Times New Roman"/>
        </w:rPr>
        <w:t>), fermo restando il potere del legislatore di intervenire in modo conforme ai precetti costituzionali. Non si tratta di soggettivizzare la nozione di salute, né di assecondare il desiderio di autocompiacimento dei componenti di una coppia, piegando la tecnica a fini consumistici, bensì di tenere conto che la nozione di patologia, anche psichica, la sua incidenza sul diritto alla salute e l’esistenza di pratiche terapeutiche idonee a tutelarlo vanno accertate alla luce delle valutazioni riservate alla scienza medica, ferma la necessità di verificare che la relativa scelta non si ponga in contrasto con interessi di pari rango.</w:t>
      </w:r>
    </w:p>
    <w:p w14:paraId="071D6411"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8.– Il censurato divieto incide, quindi, sui richiamati beni costituzionali. Tuttavia, ciò non è sufficiente a farlo ritenere illegittimo, occorrendo a questo scopo accertare se l’assolutezza che lo connota sia l’unico mezzo per garantire la tutela di altri valori costituzionali coinvolti dalla tecnica in esame.</w:t>
      </w:r>
    </w:p>
    <w:p w14:paraId="0D9496BA"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9.– In linea preliminare, va osservato che la PMA di tipo eterologo mira a favorire la vita e pone problematiche riferibili eminentemente al tempo successivo alla nascita. La considerazione che il divieto è stato censurato nella parte in cui impedisce il ricorso a detta tecnica nel caso in cui sia stata accertata l’esistenza di una patologia, che è causa irreversibile di sterilità o infertilità assolute, deve escludere, in radice, infatti, un’eventuale utilizzazione della stessa ad illegittimi fini eugenetici.</w:t>
      </w:r>
    </w:p>
    <w:p w14:paraId="18671A0A"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La tecnica in esame (che va rigorosamente circoscritta alla donazione di gameti e tenuta distinta da ulteriori e diverse metodiche, quali la cosiddetta «surrogazione di maternità», espressamente vietata dall’art. 12, comma 6, della legge n. 40 del 2004, con prescrizione non censurata e che in nessun modo ed in nessun punto è incisa dalla presente pronuncia, conservando quindi perdurante validità ed efficacia), alla luce delle notorie risultanze della scienza medica, non comporta, inoltre, rischi per la salute dei donanti e dei donatari eccedenti la normale alea insita in qualsiasi pratica terapeutica, purché eseguita all’interno di strutture operanti sotto i rigorosi controlli delle autorità, nell’osservanza dei protocolli elaborati dagli organismi specializzati a ciò deputati.</w:t>
      </w:r>
    </w:p>
    <w:p w14:paraId="465EBB83"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10.– L’unico interesse che si contrappone ai predetti beni costituzionali è, dunque, quello della persona nata dalla PMA di tipo eterologo, che, secondo l’Avvocatura generale dello Stato, sarebbe leso a causa sia del rischio psicologico correlato ad una genitorialità non naturale, sia della violazione del diritto a conoscere la propria identità genetica. Le censure, ad avviso dell’interveniente, sarebbero inoltre inammissibili, come sopra accennato, poiché il loro eventuale accoglimento determinerebbe incolmabili «vuoti normativi» in ordine a rilevanti profili della disciplina applicabile, venendo in rilievo «una questione di politica e di tecnica legislativa di competenza del </w:t>
      </w:r>
      <w:r w:rsidRPr="000B63D8">
        <w:rPr>
          <w:rFonts w:ascii="Times New Roman" w:hAnsi="Times New Roman" w:cs="Times New Roman"/>
          <w:i/>
          <w:iCs/>
        </w:rPr>
        <w:t>conditor iuris</w:t>
      </w:r>
      <w:r w:rsidRPr="000B63D8">
        <w:rPr>
          <w:rFonts w:ascii="Times New Roman" w:hAnsi="Times New Roman" w:cs="Times New Roman"/>
        </w:rPr>
        <w:t>», che porrebbe esclusivamente «scelte di opportunità», riconducibili alla discrezionalità riservata al legislatore ordinario.</w:t>
      </w:r>
    </w:p>
    <w:p w14:paraId="3B4C6E2D"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Questa eccezione evidenzia l’inestricabile correlazione esistente tra profili concernenti l’ammissibilità ed il merito delle questioni.  Devono, per ciò stesso, essere esaminati congiuntamente.</w:t>
      </w:r>
    </w:p>
    <w:p w14:paraId="7E2B892A"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L’eccezione di inammissibilità non è fondata, anche se va escluso che l’accoglimento delle questioni possa far rivivere gli atti amministrativi sopra richiamati, come sostenuto invece dalle parti private. Il contenuto del divieto introdotto dal citato art. 4, comma 3, e l’impossibilità di qualificare detta norma (e l’intera legge) come esclusivamente ed espressamente abrogatrice di una norma preesistente, nonché la natura di tali atti, rendono infatti palese che non ricorre nessuna delle «ipotesi tipiche e molto limitate» di reviviscenza che l’ordinamento costituzionale tollera (tra le più recenti, </w:t>
      </w:r>
      <w:hyperlink r:id="rId40" w:history="1">
        <w:r w:rsidRPr="000B63D8">
          <w:rPr>
            <w:rFonts w:ascii="Times New Roman" w:hAnsi="Times New Roman" w:cs="Times New Roman"/>
            <w:color w:val="0000FF"/>
            <w:u w:val="single" w:color="0000FF"/>
          </w:rPr>
          <w:t>sentenza n. 70 del 2013</w:t>
        </w:r>
      </w:hyperlink>
      <w:r w:rsidRPr="000B63D8">
        <w:rPr>
          <w:rFonts w:ascii="Times New Roman" w:hAnsi="Times New Roman" w:cs="Times New Roman"/>
        </w:rPr>
        <w:t>).</w:t>
      </w:r>
    </w:p>
    <w:p w14:paraId="673A01C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11.– Posta questa premessa, deve essere ribadito che la legge n. 40 del 2004 costituisce la «prima legislazione organica relativa ad un delicato settore […] che indubbiamente coinvolge una pluralità di rilevanti interessi costituzionali, i quali, nel loro complesso, postulano quanto meno un bilanciamento tra di essi che assicuri un livello minimo di tutela legislativa» e, quindi, sotto questo profilo, è «costituzionalmente necessaria» (</w:t>
      </w:r>
      <w:hyperlink r:id="rId41" w:history="1">
        <w:r w:rsidRPr="000B63D8">
          <w:rPr>
            <w:rFonts w:ascii="Times New Roman" w:hAnsi="Times New Roman" w:cs="Times New Roman"/>
            <w:color w:val="0000FF"/>
            <w:u w:val="single" w:color="0000FF"/>
          </w:rPr>
          <w:t>sentenza n. 45 del 2005</w:t>
        </w:r>
      </w:hyperlink>
      <w:r w:rsidRPr="000B63D8">
        <w:rPr>
          <w:rFonts w:ascii="Times New Roman" w:hAnsi="Times New Roman" w:cs="Times New Roman"/>
        </w:rPr>
        <w:t xml:space="preserve">). Nondimeno, </w:t>
      </w:r>
      <w:r w:rsidRPr="000B63D8">
        <w:rPr>
          <w:rFonts w:ascii="Times New Roman" w:hAnsi="Times New Roman" w:cs="Times New Roman"/>
          <w:i/>
          <w:iCs/>
        </w:rPr>
        <w:t>in parte qua</w:t>
      </w:r>
      <w:r w:rsidRPr="000B63D8">
        <w:rPr>
          <w:rFonts w:ascii="Times New Roman" w:hAnsi="Times New Roman" w:cs="Times New Roman"/>
        </w:rPr>
        <w:t xml:space="preserve">, essa non ha contenuto costituzionalmente vincolato; infatti, nel dichiarare ammissibile la richiesta di </w:t>
      </w:r>
      <w:r w:rsidRPr="000B63D8">
        <w:rPr>
          <w:rFonts w:ascii="Times New Roman" w:hAnsi="Times New Roman" w:cs="Times New Roman"/>
          <w:i/>
          <w:iCs/>
        </w:rPr>
        <w:t>referendum</w:t>
      </w:r>
      <w:r w:rsidRPr="000B63D8">
        <w:rPr>
          <w:rFonts w:ascii="Times New Roman" w:hAnsi="Times New Roman" w:cs="Times New Roman"/>
        </w:rPr>
        <w:t xml:space="preserve"> popolare per l’abrogazione, tra gli altri, dell’art. 4, comma 3, è stato sottolineato che l’eventuale accoglimento della proposta referendaria non avrebbe fatto «venir meno un livello minimo di tutela costituzionalmente necessario, così da sottrarsi alla possibilità di abrogazione referendaria» (</w:t>
      </w:r>
      <w:hyperlink r:id="rId42" w:history="1">
        <w:r w:rsidRPr="000B63D8">
          <w:rPr>
            <w:rFonts w:ascii="Times New Roman" w:hAnsi="Times New Roman" w:cs="Times New Roman"/>
            <w:color w:val="0000FF"/>
            <w:u w:val="single" w:color="0000FF"/>
          </w:rPr>
          <w:t>sentenza n. 49 del 2005</w:t>
        </w:r>
      </w:hyperlink>
      <w:r w:rsidRPr="000B63D8">
        <w:rPr>
          <w:rFonts w:ascii="Times New Roman" w:hAnsi="Times New Roman" w:cs="Times New Roman"/>
        </w:rPr>
        <w:t>).</w:t>
      </w:r>
    </w:p>
    <w:p w14:paraId="3762E9F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In relazione al «vuoto normativo» paventato dall’interveniente, rinviando alle considerazioni svolte di seguito per l’identificazione delle lacune eventualmente conseguenti all’accoglimento delle questioni, occorre, peraltro, ricordare che questa Corte sin dalla </w:t>
      </w:r>
      <w:hyperlink r:id="rId43" w:history="1">
        <w:r w:rsidRPr="000B63D8">
          <w:rPr>
            <w:rFonts w:ascii="Times New Roman" w:hAnsi="Times New Roman" w:cs="Times New Roman"/>
            <w:color w:val="0000FF"/>
            <w:u w:val="single" w:color="0000FF"/>
          </w:rPr>
          <w:t>sentenza n. 59 del 1958</w:t>
        </w:r>
      </w:hyperlink>
      <w:r w:rsidRPr="000B63D8">
        <w:rPr>
          <w:rFonts w:ascii="Times New Roman" w:hAnsi="Times New Roman" w:cs="Times New Roman"/>
        </w:rPr>
        <w:t xml:space="preserve"> ha affermato che il proprio potere «di dichiarare l’illegittimità costituzionale delle leggi non può trovare ostacolo nella carenza legislativa che, in ordine a dati rapporti, possa derivarne; mentre spetta alla saggezza del legislatore […] di eliminarla nel modo più sollecito ed opportuno» e, di recente, ha ribadito che, «posta di fronte a un </w:t>
      </w:r>
      <w:r w:rsidRPr="000B63D8">
        <w:rPr>
          <w:rFonts w:ascii="Times New Roman" w:hAnsi="Times New Roman" w:cs="Times New Roman"/>
          <w:i/>
          <w:iCs/>
        </w:rPr>
        <w:t>vulnus</w:t>
      </w:r>
      <w:r w:rsidRPr="000B63D8">
        <w:rPr>
          <w:rFonts w:ascii="Times New Roman" w:hAnsi="Times New Roman" w:cs="Times New Roman"/>
        </w:rPr>
        <w:t xml:space="preserve"> costituzionale, non sanabile in via interpretativa – tanto più se attinente a diritti fondamentali – la Corte è tenuta comunque a porvi rimedio» (</w:t>
      </w:r>
      <w:hyperlink r:id="rId44" w:history="1">
        <w:r w:rsidRPr="000B63D8">
          <w:rPr>
            <w:rFonts w:ascii="Times New Roman" w:hAnsi="Times New Roman" w:cs="Times New Roman"/>
            <w:color w:val="0000FF"/>
            <w:u w:val="single" w:color="0000FF"/>
          </w:rPr>
          <w:t>sentenza n. 113 del 2011</w:t>
        </w:r>
      </w:hyperlink>
      <w:r w:rsidRPr="000B63D8">
        <w:rPr>
          <w:rFonts w:ascii="Times New Roman" w:hAnsi="Times New Roman" w:cs="Times New Roman"/>
        </w:rPr>
        <w:t>).</w:t>
      </w:r>
    </w:p>
    <w:p w14:paraId="68B664D2"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L’esigenza di garantire il principio di costituzionalità rende, infatti, imprescindibile affermare che il relativo sindacato «deve coprire nella misura più ampia possibile l’ordinamento giuridico» (</w:t>
      </w:r>
      <w:hyperlink r:id="rId45" w:history="1">
        <w:r w:rsidRPr="000B63D8">
          <w:rPr>
            <w:rFonts w:ascii="Times New Roman" w:hAnsi="Times New Roman" w:cs="Times New Roman"/>
            <w:color w:val="0000FF"/>
            <w:u w:val="single" w:color="0000FF"/>
          </w:rPr>
          <w:t>sentenza n. 1 del 2014</w:t>
        </w:r>
      </w:hyperlink>
      <w:r w:rsidRPr="000B63D8">
        <w:rPr>
          <w:rFonts w:ascii="Times New Roman" w:hAnsi="Times New Roman" w:cs="Times New Roman"/>
        </w:rPr>
        <w:t>), non essendo, ovviamente, ipotizzabile l’esistenza di ambiti sottratti allo stesso. Diversamente, si determinerebbe, infatti, una lesione intollerabile per l’ordinamento costituzionale complessivamente considerato, soprattutto quando risulti accertata la violazione di una libertà fondamentale, che non può mai essere giustificata con l’eventuale inerzia del legislatore ordinario. Una volta accertato che una norma primaria si pone in contrasto con parametri costituzionali, questa Corte non può, dunque, sottrarsi al proprio potere-dovere di porvi rimedio e deve dichiararne l’illegittimità, essendo poi «cómpito del legislatore introdurre apposite disposizioni» (</w:t>
      </w:r>
      <w:hyperlink r:id="rId46" w:history="1">
        <w:r w:rsidRPr="000B63D8">
          <w:rPr>
            <w:rFonts w:ascii="Times New Roman" w:hAnsi="Times New Roman" w:cs="Times New Roman"/>
            <w:color w:val="0000FF"/>
            <w:u w:val="single" w:color="0000FF"/>
          </w:rPr>
          <w:t>sentenza n. 278 del 2013</w:t>
        </w:r>
      </w:hyperlink>
      <w:r w:rsidRPr="000B63D8">
        <w:rPr>
          <w:rFonts w:ascii="Times New Roman" w:hAnsi="Times New Roman" w:cs="Times New Roman"/>
        </w:rPr>
        <w:t>), allo scopo di eliminare le eventuali lacune che non possano essere colmate mediante gli ordinari strumenti interpretativi dai giudici ed anche dalla pubblica amministrazione, qualora ciò sia ammissibile.</w:t>
      </w:r>
    </w:p>
    <w:p w14:paraId="3846C00E"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Nella specie sono, peraltro, identificabili più norme che già disciplinano molti dei profili di più pregnante rilievo, anche perché il legislatore, avendo consapevolezza della legittimità della PMA di tipo eterologo in molti paesi d’Europa, li ha opportunamente regolamentati, dato che i cittadini italiani potevano (e possono) recarsi in questi ultimi per fare ad essa ricorso, come in effetti è accaduto in un non irrilevante numero di casi.</w:t>
      </w:r>
    </w:p>
    <w:p w14:paraId="0D42A4EB"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11.1.– La ritenuta fondatezza delle censure non determina incertezze in ordine all’identificazione dei casi nei quali è legittimo il ricorso alla tecnica in oggetto. L’accoglimento delle questioni, in coerenza con il </w:t>
      </w:r>
      <w:r w:rsidRPr="000B63D8">
        <w:rPr>
          <w:rFonts w:ascii="Times New Roman" w:hAnsi="Times New Roman" w:cs="Times New Roman"/>
          <w:i/>
          <w:iCs/>
        </w:rPr>
        <w:t>petitum</w:t>
      </w:r>
      <w:r w:rsidRPr="000B63D8">
        <w:rPr>
          <w:rFonts w:ascii="Times New Roman" w:hAnsi="Times New Roman" w:cs="Times New Roman"/>
        </w:rPr>
        <w:t xml:space="preserve"> formulato dai rimettenti, comporta, infatti, l’illegittimità del divieto in esame, esclusivamente in riferimento al caso in cui sia stata accertata l’esistenza di una patologia che sia causa irreversibile di sterilità o infertilità assolute. In particolare, secondo quanto stabilito dagli artt. 1, comma 2, e 4, comma 1, della legge n. 40 del 2004, all’evidenza direttamente riferibili anche alla PMA di tipo eterologo, il ricorso alla stessa, una volta dichiarato illegittimo il censurato divieto, deve ritenersi consentito solo «qualora non vi siano altri metodi terapeutici efficaci per rimuovere» le cause di sterilità o infertilità e sia stato accertato il carattere assoluto delle stesse, dovendo siffatte circostanze essere «documentate da atto medico» e da questo certificate. Il ricorso a questa tecnica, non diversamente da quella di tipo omologo, deve, inoltre, osservare i principi di gradualità e del consenso informato stabiliti dal citato art. 4, comma 2.</w:t>
      </w:r>
    </w:p>
    <w:p w14:paraId="50BD77F4"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Nessuna lacuna sussiste in ordine ai requisiti soggettivi, poiché la dichiarata illegittimità del divieto non incide sulla previsione recata dall’art. 5, comma 1, di detta legge, che risulta ovviamente applicabile alla PMA di tipo eterologo (come già a quella di tipo omologo); quindi, alla stessa possono fare ricorso esclusivamente le «coppie di maggiorenni di sesso diverso, coniugate o conviventi, in età potenzialmente fertile, entrambi viventi». Ad analoga conclusione deve pervenirsi quanto alla disciplina del consenso, dato che la completa regolamentazione stabilita dall’art. 6 della legge n. 40 del 2004 – una volta venuto meno, nei limiti sopra precisati, il censurato divieto – riguarda evidentemente anche la tecnica in esame, in quanto costituisce una particolare metodica di PMA. È, inoltre, parimenti chiaro che l’art. 7 della legge n. 40 del 2004, il quale offre base giuridica alle Linee guida emanate dal Ministro della salute, «contenenti l’indicazione delle procedure e delle tecniche di procreazione medicalmente assistita», avendo ad oggetto le direttive che devono essere emanate per l’esecuzione della disciplina e concernendo il </w:t>
      </w:r>
      <w:r w:rsidRPr="000B63D8">
        <w:rPr>
          <w:rFonts w:ascii="Times New Roman" w:hAnsi="Times New Roman" w:cs="Times New Roman"/>
          <w:i/>
          <w:iCs/>
        </w:rPr>
        <w:t>genus</w:t>
      </w:r>
      <w:r w:rsidRPr="000B63D8">
        <w:rPr>
          <w:rFonts w:ascii="Times New Roman" w:hAnsi="Times New Roman" w:cs="Times New Roman"/>
        </w:rPr>
        <w:t xml:space="preserve"> PMA, di cui quella di tipo eterologo costituisce una </w:t>
      </w:r>
      <w:r w:rsidRPr="000B63D8">
        <w:rPr>
          <w:rFonts w:ascii="Times New Roman" w:hAnsi="Times New Roman" w:cs="Times New Roman"/>
          <w:i/>
          <w:iCs/>
        </w:rPr>
        <w:t>species</w:t>
      </w:r>
      <w:r w:rsidRPr="000B63D8">
        <w:rPr>
          <w:rFonts w:ascii="Times New Roman" w:hAnsi="Times New Roman" w:cs="Times New Roman"/>
        </w:rPr>
        <w:t>, è, all’evidenza, riferibile anche a questa, come lo sono altresì gli artt. 10 ed 11, in tema di individuazione delle strutture autorizzate a praticare la procreazione medicalmente assistita e di documentazione dei relativi interventi.</w:t>
      </w:r>
    </w:p>
    <w:p w14:paraId="0FAFA868"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Siffatta considerazione permette, poi, di ritenere che le norme di divieto e sanzione non censurate (le quali conservano validità ed efficacia), preordinate a garantire l’osservanza delle disposizioni in materia di requisiti soggettivi, modalità di espressione del consenso e documentazione medica necessaria ai fini della diagnosi della patologia e della praticabilità della tecnica, nonché a garantire il rispetto delle prescrizioni concernenti le modalità di svolgimento della PMA ed a vietare la commercializzazione di gameti ed embrioni e la surrogazione di maternità (art. 12, commi da 2 a 10, della legge n. 40 del 2004) sono applicabili direttamente (e non in via d’interpretazione estensiva) a quella di tipo eterologo, così come lo sono le ulteriori norme, nelle parti non incise da pronunce di questa Corte.</w:t>
      </w:r>
    </w:p>
    <w:p w14:paraId="60DC4C4F"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I profili sui quali si è soffermato l’interveniente, concernenti lo stato giuridico del nato ed i rapporti con i genitori, sono, inoltre, anch’essi regolamentati dalle pertinenti norme della legge n. 40 del 2004, applicabili anche al nato da PMA di tipo eterologo in forza degli ordinari canoni ermeneutici. La constatazione che l’art. 8, comma 1, di detta legge contiene un ampio riferimento ai «nati a seguito dell’applicazione delle tecniche di procreazione medicalmente assistita», in considerazione della genericità di quest’ultima locuzione e dell’essere la PMA di tipo eterologo una </w:t>
      </w:r>
      <w:r w:rsidRPr="000B63D8">
        <w:rPr>
          <w:rFonts w:ascii="Times New Roman" w:hAnsi="Times New Roman" w:cs="Times New Roman"/>
          <w:i/>
          <w:iCs/>
        </w:rPr>
        <w:t>species</w:t>
      </w:r>
      <w:r w:rsidRPr="000B63D8">
        <w:rPr>
          <w:rFonts w:ascii="Times New Roman" w:hAnsi="Times New Roman" w:cs="Times New Roman"/>
        </w:rPr>
        <w:t xml:space="preserve"> del </w:t>
      </w:r>
      <w:r w:rsidRPr="000B63D8">
        <w:rPr>
          <w:rFonts w:ascii="Times New Roman" w:hAnsi="Times New Roman" w:cs="Times New Roman"/>
          <w:i/>
          <w:iCs/>
        </w:rPr>
        <w:t>genus</w:t>
      </w:r>
      <w:r w:rsidRPr="000B63D8">
        <w:rPr>
          <w:rFonts w:ascii="Times New Roman" w:hAnsi="Times New Roman" w:cs="Times New Roman"/>
        </w:rPr>
        <w:t>, come sopra precisato, rende, infatti, chiaro che, in virtù di tale norma, anche i nati da quest’ultima tecnica «hanno lo stato di figli nati nel matrimonio o di figli riconosciuti della coppia che ha espresso la volontà di ricorrere alle tecniche medesime». Della nuova concezione della paternità il legislatore ordinario si è, peraltro, di recente dimostrato consapevole, modificando l’art. 231 del codice civile, il quale, nel testo novellato dall’art. 8 del decreto legislativo 28 dicembre 2013, n. 154 (Revisione delle disposizioni vigenti in materia di filiazione, a norma dell’articolo 2 della legge 10 dicembre 2012, n. 219), stabilisce, significativamente, che «Il marito è padre del figlio concepito o nato durante il matrimonio», risultando così sostituita l’originaria formulazione della norma, la quale disponeva, invece, che «Il marito è padre del figlio concepito durante il matrimonio».</w:t>
      </w:r>
    </w:p>
    <w:p w14:paraId="7E686B2E"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Una volta espunte dai commi 1 e 3 dell’art. 9 della legge n. 40 del 2004, a seguito dell’accoglimento delle sollevate questioni, le parole «in violazione del divieto di cui all’articolo 4, comma 3» risulta, infine, confermata sia l’inammissibilità dell’azione di disconoscimento della paternità (il richiamo dell’art. 235 cod. civ. a seguito delle modifiche realizzate dagli artt. 17 e 106 del d.lgs. n. 154 del 2013 deve ritenersi ora riferito all’art. 243-</w:t>
      </w:r>
      <w:r w:rsidRPr="000B63D8">
        <w:rPr>
          <w:rFonts w:ascii="Times New Roman" w:hAnsi="Times New Roman" w:cs="Times New Roman"/>
          <w:i/>
          <w:iCs/>
        </w:rPr>
        <w:t>bis</w:t>
      </w:r>
      <w:r w:rsidRPr="000B63D8">
        <w:rPr>
          <w:rFonts w:ascii="Times New Roman" w:hAnsi="Times New Roman" w:cs="Times New Roman"/>
        </w:rPr>
        <w:t xml:space="preserve"> cod. civ.) e dell’impugnazione </w:t>
      </w:r>
      <w:r w:rsidRPr="000B63D8">
        <w:rPr>
          <w:rFonts w:ascii="Times New Roman" w:hAnsi="Times New Roman" w:cs="Times New Roman"/>
          <w:i/>
          <w:iCs/>
        </w:rPr>
        <w:t>ex</w:t>
      </w:r>
      <w:r w:rsidRPr="000B63D8">
        <w:rPr>
          <w:rFonts w:ascii="Times New Roman" w:hAnsi="Times New Roman" w:cs="Times New Roman"/>
        </w:rPr>
        <w:t xml:space="preserve"> art. 263 cod. civ. (nel testo novellato dall’art. 28 del d.lgs. n. 154 del 2013), sia che la nascita da PMA di tipo eterologo non dà luogo all’istituzione di relazioni giuridiche parentali tra il donatore di gameti ed il nato, essendo, quindi, regolamentati i principali profili dello stato giuridico di quest’ultimo.</w:t>
      </w:r>
    </w:p>
    <w:p w14:paraId="06E4C6EA"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12.– Dalle norme vigenti è, dunque, già desumibile una regolamentazione della PMA di tipo eterologo che, in relazione ai profili ulteriori rispetto a quelli sopra approfonditi, è ricavabile, mediante gli ordinari strumenti interpretativi, dalla disciplina concernente, in linea generale, la donazione di tessuti e cellule umani, in quanto espressiva di principi generali pur nelle diversità delle fattispecie (in ordine, esemplificativamente, alla gratuità e volontarietà della donazione, alle modalità del consenso, all’anonimato del donatore, alle esigenze di tutela sotto il profilo sanitario, oggetto degli artt. 12, 13, comma 1, 14 e 15 del decreto legislativo 6 novembre 2007, n. 191, recante «Attuazione della direttiva 2004/23/CE sulla definizione delle norme di qualità e di sicurezza per la donazione, l’approvvigionamento, il controllo, la lavorazione, la conservazione, lo stoccaggio e la distribuzione di tessuti e cellule umane»). In relazione al numero delle donazioni è, poi, possibile un aggiornamento delle Linee guida, eventualmente anche alla luce delle discipline stabilite in altri Paesi europei (quali, ad esempio, la Francia e il Regno Unito), ma tenendo conto dell’esigenza di consentirle entro un limite ragionevolmente ridotto.</w:t>
      </w:r>
    </w:p>
    <w:p w14:paraId="11AFB49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La questione del diritto all’identità genetica, nonostante le peculiarità che la connotano in relazione alla fattispecie in esame, neppure è nuova. Essa si è posta, infatti, in riferimento all’istituto dell’adozione e sulla stessa è di recente intervenuto il legislatore, che ha disciplinato l’</w:t>
      </w:r>
      <w:r w:rsidRPr="000B63D8">
        <w:rPr>
          <w:rFonts w:ascii="Times New Roman" w:hAnsi="Times New Roman" w:cs="Times New Roman"/>
          <w:i/>
          <w:iCs/>
        </w:rPr>
        <w:t>an</w:t>
      </w:r>
      <w:r w:rsidRPr="000B63D8">
        <w:rPr>
          <w:rFonts w:ascii="Times New Roman" w:hAnsi="Times New Roman" w:cs="Times New Roman"/>
        </w:rPr>
        <w:t xml:space="preserve"> ed il </w:t>
      </w:r>
      <w:r w:rsidRPr="000B63D8">
        <w:rPr>
          <w:rFonts w:ascii="Times New Roman" w:hAnsi="Times New Roman" w:cs="Times New Roman"/>
          <w:i/>
          <w:iCs/>
        </w:rPr>
        <w:t>quomodo</w:t>
      </w:r>
      <w:r w:rsidRPr="000B63D8">
        <w:rPr>
          <w:rFonts w:ascii="Times New Roman" w:hAnsi="Times New Roman" w:cs="Times New Roman"/>
        </w:rPr>
        <w:t xml:space="preserve"> del diritto dei genitori adottivi all’accesso alle informazioni concernenti l’identità dei genitori biologici dell’adottato (art. 28, comma 4, della legge 4 maggio 1983, n. 184, recante «Diritto del minore ad una famiglia», nel testo modificato dall’art. 100, comma 1, lettera </w:t>
      </w:r>
      <w:r w:rsidRPr="000B63D8">
        <w:rPr>
          <w:rFonts w:ascii="Times New Roman" w:hAnsi="Times New Roman" w:cs="Times New Roman"/>
          <w:i/>
          <w:iCs/>
        </w:rPr>
        <w:t>p</w:t>
      </w:r>
      <w:r w:rsidRPr="000B63D8">
        <w:rPr>
          <w:rFonts w:ascii="Times New Roman" w:hAnsi="Times New Roman" w:cs="Times New Roman"/>
        </w:rPr>
        <w:t xml:space="preserve">, del d.lgs. n. 154 del 2013). Inoltre, in tale ambito era stato già infranto il dogma della segretezza dell’identità dei genitori biologici quale garanzia insuperabile della coesione della famiglia adottiva, nella consapevolezza dell’esigenza di una valutazione dialettica dei relativi rapporti (art. 28, comma 5, della legge n. 184 del 1983). Siffatta esigenza è stata confermata da questa Corte la quale, nello scrutinare la norma che vietava l’accesso alle informazioni nei confronti della madre che abbia dichiarato alla nascita di non volere essere nominata, ha affermato che l’irreversibilità del segreto arrecava un insanabile </w:t>
      </w:r>
      <w:r w:rsidRPr="000B63D8">
        <w:rPr>
          <w:rFonts w:ascii="Times New Roman" w:hAnsi="Times New Roman" w:cs="Times New Roman"/>
          <w:i/>
          <w:iCs/>
        </w:rPr>
        <w:t xml:space="preserve">vulnus </w:t>
      </w:r>
      <w:r w:rsidRPr="000B63D8">
        <w:rPr>
          <w:rFonts w:ascii="Times New Roman" w:hAnsi="Times New Roman" w:cs="Times New Roman"/>
        </w:rPr>
        <w:t>agli artt. 2 e 3 Cost. e l’ha, quindi, rimossa, giudicando inammissibile il suo mantenimento ed invitando il legislatore ad introdurre apposite disposizioni volte a consentire la verifica della perdurante attualità della scelta compiuta dalla madre naturale e, nello stesso tempo, a cautelare in termini rigorosi il suo diritto all’anonimato (</w:t>
      </w:r>
      <w:hyperlink r:id="rId47" w:history="1">
        <w:r w:rsidRPr="000B63D8">
          <w:rPr>
            <w:rFonts w:ascii="Times New Roman" w:hAnsi="Times New Roman" w:cs="Times New Roman"/>
            <w:color w:val="0000FF"/>
            <w:u w:val="single" w:color="0000FF"/>
          </w:rPr>
          <w:t>sentenza n. 278 del 2013</w:t>
        </w:r>
      </w:hyperlink>
      <w:r w:rsidRPr="000B63D8">
        <w:rPr>
          <w:rFonts w:ascii="Times New Roman" w:hAnsi="Times New Roman" w:cs="Times New Roman"/>
        </w:rPr>
        <w:t>).</w:t>
      </w:r>
    </w:p>
    <w:p w14:paraId="1CAF8D1A"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13.– Il censurato divieto, nella sua assolutezza, è pertanto il risultato di un irragionevole bilanciamento degli interessi in gioco, in violazione anche del canone di razionalità dell’ordinamento, non giustificabile neppure richiamando l’esigenza di intervenire con norme primarie o secondarie per stabilire alcuni profili della disciplina della PMA di tipo eterologo.</w:t>
      </w:r>
    </w:p>
    <w:p w14:paraId="15C4D12D" w14:textId="77777777" w:rsidR="000B63D8" w:rsidRPr="000B63D8" w:rsidRDefault="000B63D8" w:rsidP="000B63D8">
      <w:pPr>
        <w:widowControl w:val="0"/>
        <w:autoSpaceDE w:val="0"/>
        <w:autoSpaceDN w:val="0"/>
        <w:adjustRightInd w:val="0"/>
        <w:ind w:firstLine="945"/>
        <w:jc w:val="both"/>
        <w:rPr>
          <w:rFonts w:ascii="Times New Roman" w:hAnsi="Times New Roman" w:cs="Times New Roman"/>
        </w:rPr>
      </w:pPr>
      <w:r w:rsidRPr="000B63D8">
        <w:rPr>
          <w:rFonts w:ascii="Times New Roman" w:hAnsi="Times New Roman" w:cs="Times New Roman"/>
        </w:rPr>
        <w:t>A tal proposito, va ricordato che la giurisprudenza costituzionale «ha desunto dall’art. 3 Cost. un canone di “razionalità” della legge svincolato da una normativa di raffronto, rintracciato nell’“esigenza di conformità dell’ordinamento a valori di giustizia e di equità” […] ed a criteri di coerenza logica, teleologica e storico-cronologica, che costituisce un presidio contro l’eventuale manifesta irrazionalità o iniquità delle conseguenze della stessa» (</w:t>
      </w:r>
      <w:hyperlink r:id="rId48" w:history="1">
        <w:r w:rsidRPr="000B63D8">
          <w:rPr>
            <w:rFonts w:ascii="Times New Roman" w:hAnsi="Times New Roman" w:cs="Times New Roman"/>
            <w:color w:val="0000FF"/>
            <w:u w:val="single" w:color="0000FF"/>
          </w:rPr>
          <w:t>sentenza n. 87 del 2012</w:t>
        </w:r>
      </w:hyperlink>
      <w:r w:rsidRPr="000B63D8">
        <w:rPr>
          <w:rFonts w:ascii="Times New Roman" w:hAnsi="Times New Roman" w:cs="Times New Roman"/>
        </w:rPr>
        <w:t>). Lo scrutinio di ragionevolezza, in ambiti connotati da un’ampia discrezionalità legislativa, impone, inoltre, a questa Corte di verificare che il bilanciamento degli interessi costituzionalmente rilevanti non sia stato realizzato con modalità tali da determinare il sacrificio o la compressione di uno di essi in misura eccessiva e pertanto incompatibile con il dettato costituzionale. Tale giudizio deve svolgersi «attraverso ponderazioni relative alla proporzionalità dei mezzi prescelti dal legislatore nella sua insindacabile discrezionalità rispetto alle esigenze obiettive da soddisfare o alle finalità che intende perseguire, tenuto conto delle circostanze e delle limitazioni concretamente sussistenti» (</w:t>
      </w:r>
      <w:hyperlink r:id="rId49" w:history="1">
        <w:r w:rsidRPr="000B63D8">
          <w:rPr>
            <w:rFonts w:ascii="Times New Roman" w:hAnsi="Times New Roman" w:cs="Times New Roman"/>
            <w:color w:val="0000FF"/>
            <w:u w:val="single" w:color="0000FF"/>
          </w:rPr>
          <w:t>sentenza n. 1130 del 1988</w:t>
        </w:r>
      </w:hyperlink>
      <w:r w:rsidRPr="000B63D8">
        <w:rPr>
          <w:rFonts w:ascii="Times New Roman" w:hAnsi="Times New Roman" w:cs="Times New Roman"/>
        </w:rPr>
        <w:t>). A questo scopo può essere utilizzato il test di proporzionalità, insieme con quello di ragionevolezza, che «richiede di valutare se la norma oggetto di scrutinio, con la misura e le modalità di applicazione stabilite, sia necessaria e idonea al conseguimento di obiettivi legittimamente perseguiti, in quanto, tra più misure appropriate, prescriva quella meno restrittiva dei diritti a confronto e stabilisca oneri non sproporzionati rispetto al perseguimento di detti obiettivi» (</w:t>
      </w:r>
      <w:hyperlink r:id="rId50" w:history="1">
        <w:r w:rsidRPr="000B63D8">
          <w:rPr>
            <w:rFonts w:ascii="Times New Roman" w:hAnsi="Times New Roman" w:cs="Times New Roman"/>
            <w:color w:val="0000FF"/>
            <w:u w:val="single" w:color="0000FF"/>
          </w:rPr>
          <w:t>sentenza n. 1 del 2014</w:t>
        </w:r>
      </w:hyperlink>
      <w:r w:rsidRPr="000B63D8">
        <w:rPr>
          <w:rFonts w:ascii="Times New Roman" w:hAnsi="Times New Roman" w:cs="Times New Roman"/>
        </w:rPr>
        <w:t>).</w:t>
      </w:r>
    </w:p>
    <w:p w14:paraId="3A995DB3"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In applicazione di tali principi, alla luce del dichiarato scopo della legge n. 40 del 2004 «di favorire la soluzione dei problemi riproduttivi derivanti dalla sterilità o dalla infertilità umana» (art. 1, comma 1), la preclusione assoluta di accesso alla PMA di tipo eterologo introduce un evidente elemento di irrazionalità, poiché la negazione</w:t>
      </w:r>
      <w:r w:rsidRPr="000B63D8">
        <w:rPr>
          <w:rFonts w:ascii="Times New Roman" w:hAnsi="Times New Roman" w:cs="Times New Roman"/>
          <w:b/>
          <w:bCs/>
        </w:rPr>
        <w:t xml:space="preserve"> </w:t>
      </w:r>
      <w:r w:rsidRPr="000B63D8">
        <w:rPr>
          <w:rFonts w:ascii="Times New Roman" w:hAnsi="Times New Roman" w:cs="Times New Roman"/>
        </w:rPr>
        <w:t xml:space="preserve">assoluta del diritto a realizzare la genitorialità, alla formazione della famiglia con figli, con incidenza sul diritto alla salute, nei termini sopra esposti, è stabilita in danno delle coppie affette dalle patologie più gravi, in contrasto con la </w:t>
      </w:r>
      <w:r w:rsidRPr="000B63D8">
        <w:rPr>
          <w:rFonts w:ascii="Times New Roman" w:hAnsi="Times New Roman" w:cs="Times New Roman"/>
          <w:i/>
          <w:iCs/>
        </w:rPr>
        <w:t>ratio legis</w:t>
      </w:r>
      <w:r w:rsidRPr="000B63D8">
        <w:rPr>
          <w:rFonts w:ascii="Times New Roman" w:hAnsi="Times New Roman" w:cs="Times New Roman"/>
        </w:rPr>
        <w:t>. Non rileva che le situazioni in comparazione non sono completamente assimilabili, sia perché ciò è ininfluente in relazione al canone di razionalità della norma, sia perché «il principio di cui all’art. 3 Cost. è violato non solo quando i trattamenti messi a confronto sono formalmente contraddittori in ragione dell’identità delle fattispecie, ma anche quando la differenza di trattamento è irrazionale secondo le regole del discorso pratico, in quanto le rispettive fattispecie, pur diverse, sono ragionevolmente analoghe» (</w:t>
      </w:r>
      <w:hyperlink r:id="rId51" w:history="1">
        <w:r w:rsidRPr="000B63D8">
          <w:rPr>
            <w:rFonts w:ascii="Times New Roman" w:hAnsi="Times New Roman" w:cs="Times New Roman"/>
            <w:color w:val="0000FF"/>
            <w:u w:val="single" w:color="0000FF"/>
          </w:rPr>
          <w:t>sentenza n. 1009 del 1988</w:t>
        </w:r>
      </w:hyperlink>
      <w:r w:rsidRPr="000B63D8">
        <w:rPr>
          <w:rFonts w:ascii="Times New Roman" w:hAnsi="Times New Roman" w:cs="Times New Roman"/>
        </w:rPr>
        <w:t>), come appunto nel caso in esame.</w:t>
      </w:r>
    </w:p>
    <w:p w14:paraId="28AC7844" w14:textId="77777777" w:rsidR="000B63D8" w:rsidRPr="000B63D8" w:rsidRDefault="000B63D8" w:rsidP="000B63D8">
      <w:pPr>
        <w:widowControl w:val="0"/>
        <w:autoSpaceDE w:val="0"/>
        <w:autoSpaceDN w:val="0"/>
        <w:adjustRightInd w:val="0"/>
        <w:ind w:firstLine="945"/>
        <w:jc w:val="both"/>
        <w:rPr>
          <w:rFonts w:ascii="Times New Roman" w:hAnsi="Times New Roman" w:cs="Times New Roman"/>
        </w:rPr>
      </w:pPr>
      <w:r w:rsidRPr="000B63D8">
        <w:rPr>
          <w:rFonts w:ascii="Times New Roman" w:hAnsi="Times New Roman" w:cs="Times New Roman"/>
        </w:rPr>
        <w:t>Il divieto in esame cagiona, in definitiva, una lesione della libertà fondamentale della coppia destinataria della legge n. 40 del 2004 di formare una famiglia con dei figli, senza che la sua assolutezza sia giustificata dalle esigenze di tutela del nato, le quali, in virtù di quanto sopra rilevato in ordine ad alcuni dei più importanti profili della situazione giuridica dello stesso, già desumibile dalle norme vigenti, devono ritenersi congruamente garantite.</w:t>
      </w:r>
    </w:p>
    <w:p w14:paraId="7B8E932E" w14:textId="77777777" w:rsidR="000B63D8" w:rsidRPr="000B63D8" w:rsidRDefault="000B63D8" w:rsidP="000B63D8">
      <w:pPr>
        <w:widowControl w:val="0"/>
        <w:autoSpaceDE w:val="0"/>
        <w:autoSpaceDN w:val="0"/>
        <w:adjustRightInd w:val="0"/>
        <w:ind w:firstLine="945"/>
        <w:jc w:val="both"/>
        <w:rPr>
          <w:rFonts w:ascii="Times New Roman" w:hAnsi="Times New Roman" w:cs="Times New Roman"/>
        </w:rPr>
      </w:pPr>
      <w:r w:rsidRPr="000B63D8">
        <w:rPr>
          <w:rFonts w:ascii="Times New Roman" w:hAnsi="Times New Roman" w:cs="Times New Roman"/>
        </w:rPr>
        <w:t>La regolamentazione degli effetti della PMA di tipo eterologo praticata al di fuori del nostro Paese, benché sia correttamente ispirata allo scopo di offrire la dovuta tutela al nato, pone, infine, in evidenza un ulteriore elemento di irrazionalità della censurata disciplina. Questa realizza, infatti, un ingiustificato, diverso trattamento delle coppie affette dalla più grave patologia, in base alla capacità economica delle stesse, che assurge intollerabilmente a requisito dell’esercizio di un diritto fondamentale, negato solo a quelle prive delle risorse finanziarie necessarie per potere fare ricorso a tale tecnica recandosi in altri Paesi. Ed è questo non un mero inconveniente di fatto, bensì il diretto effetto delle disposizioni in esame, conseguente ad un bilanciamento degli interessi manifestamente irragionevole. In definitiva, le norme censurate, pur nell’obiettivo di assicurare tutela ad un valore di rango costituzionale, stabiliscono una disciplina che non rispetta il vincolo del minor sacrificio possibile degli altri interessi e valori costituzionalmente protetti, giungendo a realizzare una palese ed irreversibile lesione di alcuni di essi, in violazione dei parametri costituzionali sopra richiamati.</w:t>
      </w:r>
    </w:p>
    <w:p w14:paraId="27B13AAE"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Deve essere quindi dichiarata l’illegittimità costituzionale dell’art. 4, comma 3, della legge n. 40 del 2004, nella parte in cui stabilisce il divieto del ricorso a tecniche di procreazione medicalmente assistita di tipo eterologo, qualora sia stata diagnosticata una patologia che sia causa di sterilità o infertilità assolute ed irreversibili, nonché dell’art. 9, commi 1 e 3, limitatamente alle parole «in violazione del divieto di cui all’articolo 4, comma 3», e dell’art. 12, comma 1, di detta legge.</w:t>
      </w:r>
    </w:p>
    <w:p w14:paraId="5524FF80"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14.– Restano assorbiti i motivi di censura formulati in riferimento all’art. 117, primo comma, Cost., in relazione agli artt. 8 e 14 della CEDU.</w:t>
      </w:r>
    </w:p>
    <w:p w14:paraId="076AA69F" w14:textId="77777777" w:rsidR="000B63D8" w:rsidRPr="000B63D8" w:rsidRDefault="000B63D8" w:rsidP="000B63D8">
      <w:pPr>
        <w:widowControl w:val="0"/>
        <w:autoSpaceDE w:val="0"/>
        <w:autoSpaceDN w:val="0"/>
        <w:adjustRightInd w:val="0"/>
        <w:jc w:val="center"/>
        <w:rPr>
          <w:rFonts w:ascii="Times New Roman" w:hAnsi="Times New Roman" w:cs="Times New Roman"/>
        </w:rPr>
      </w:pPr>
      <w:r w:rsidRPr="000B63D8">
        <w:rPr>
          <w:rFonts w:ascii="Times New Roman" w:hAnsi="Times New Roman" w:cs="Times New Roman"/>
        </w:rPr>
        <w:t>PER QUESTI MOTIVI</w:t>
      </w:r>
    </w:p>
    <w:p w14:paraId="2186E26D" w14:textId="77777777" w:rsidR="000B63D8" w:rsidRPr="000B63D8" w:rsidRDefault="000B63D8" w:rsidP="000B63D8">
      <w:pPr>
        <w:widowControl w:val="0"/>
        <w:autoSpaceDE w:val="0"/>
        <w:autoSpaceDN w:val="0"/>
        <w:adjustRightInd w:val="0"/>
        <w:jc w:val="center"/>
        <w:rPr>
          <w:rFonts w:ascii="Times New Roman" w:hAnsi="Times New Roman" w:cs="Times New Roman"/>
        </w:rPr>
      </w:pPr>
      <w:r w:rsidRPr="000B63D8">
        <w:rPr>
          <w:rFonts w:ascii="Times New Roman" w:hAnsi="Times New Roman" w:cs="Times New Roman"/>
        </w:rPr>
        <w:t>LA CORTE COSTITUZIONALE</w:t>
      </w:r>
    </w:p>
    <w:p w14:paraId="4EA94012"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1) </w:t>
      </w:r>
      <w:r w:rsidRPr="000B63D8">
        <w:rPr>
          <w:rFonts w:ascii="Times New Roman" w:hAnsi="Times New Roman" w:cs="Times New Roman"/>
          <w:i/>
          <w:iCs/>
        </w:rPr>
        <w:t>dichiara</w:t>
      </w:r>
      <w:r w:rsidRPr="000B63D8">
        <w:rPr>
          <w:rFonts w:ascii="Times New Roman" w:hAnsi="Times New Roman" w:cs="Times New Roman"/>
        </w:rPr>
        <w:t xml:space="preserve"> l’illegittimità costituzionale dell’art. 4, comma 3, della legge 19 febbraio 2004, n. 40 (Norme in materia di procreazione medicalmente assistita), nella parte in cui stabilisce per la coppia di cui all’art. 5, comma 1, della medesima legge, il divieto del ricorso a tecniche di procreazione medicalmente assistita di tipo eterologo, qualora sia stata diagnosticata una patologia che sia causa di sterilità o infertilità assolute ed irreversibili;</w:t>
      </w:r>
    </w:p>
    <w:p w14:paraId="4E0BCF86"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2) </w:t>
      </w:r>
      <w:r w:rsidRPr="000B63D8">
        <w:rPr>
          <w:rFonts w:ascii="Times New Roman" w:hAnsi="Times New Roman" w:cs="Times New Roman"/>
          <w:i/>
          <w:iCs/>
        </w:rPr>
        <w:t xml:space="preserve">dichiara </w:t>
      </w:r>
      <w:r w:rsidRPr="000B63D8">
        <w:rPr>
          <w:rFonts w:ascii="Times New Roman" w:hAnsi="Times New Roman" w:cs="Times New Roman"/>
        </w:rPr>
        <w:t>l’illegittimità costituzionale dell’art. 9, comma 1, della legge n. 40 del 2004, limitatamente alle parole «in violazione del divieto di cui all’articolo 4, comma 3»;</w:t>
      </w:r>
    </w:p>
    <w:p w14:paraId="3625317B"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3) </w:t>
      </w:r>
      <w:r w:rsidRPr="000B63D8">
        <w:rPr>
          <w:rFonts w:ascii="Times New Roman" w:hAnsi="Times New Roman" w:cs="Times New Roman"/>
          <w:i/>
          <w:iCs/>
        </w:rPr>
        <w:t>dichiara</w:t>
      </w:r>
      <w:r w:rsidRPr="000B63D8">
        <w:rPr>
          <w:rFonts w:ascii="Times New Roman" w:hAnsi="Times New Roman" w:cs="Times New Roman"/>
        </w:rPr>
        <w:t xml:space="preserve"> l’illegittimità costituzionale dell’art. 9, comma 3, della legge n. 40 del 2004, limitatamente alle parole «in violazione del divieto di cui all’articolo 4, comma 3»;</w:t>
      </w:r>
    </w:p>
    <w:p w14:paraId="4BE80171"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 xml:space="preserve">4) </w:t>
      </w:r>
      <w:r w:rsidRPr="000B63D8">
        <w:rPr>
          <w:rFonts w:ascii="Times New Roman" w:hAnsi="Times New Roman" w:cs="Times New Roman"/>
          <w:i/>
          <w:iCs/>
        </w:rPr>
        <w:t xml:space="preserve">dichiara </w:t>
      </w:r>
      <w:r w:rsidRPr="000B63D8">
        <w:rPr>
          <w:rFonts w:ascii="Times New Roman" w:hAnsi="Times New Roman" w:cs="Times New Roman"/>
        </w:rPr>
        <w:t>l’illegittimità costituzionale dell’art. 12, comma 1, della legge n. 40 del 2004.</w:t>
      </w:r>
    </w:p>
    <w:p w14:paraId="1E8C2A03" w14:textId="77777777" w:rsidR="000B63D8" w:rsidRPr="000B63D8" w:rsidRDefault="000B63D8" w:rsidP="000B63D8">
      <w:pPr>
        <w:widowControl w:val="0"/>
        <w:autoSpaceDE w:val="0"/>
        <w:autoSpaceDN w:val="0"/>
        <w:adjustRightInd w:val="0"/>
        <w:ind w:firstLine="944"/>
        <w:jc w:val="both"/>
        <w:rPr>
          <w:rFonts w:ascii="Times New Roman" w:hAnsi="Times New Roman" w:cs="Times New Roman"/>
        </w:rPr>
      </w:pPr>
      <w:r w:rsidRPr="000B63D8">
        <w:rPr>
          <w:rFonts w:ascii="Times New Roman" w:hAnsi="Times New Roman" w:cs="Times New Roman"/>
        </w:rPr>
        <w:t>Così deciso in Roma, nella sede della Corte costituzionale, Palazzo della Consulta, il 9 aprile 2014.</w:t>
      </w:r>
    </w:p>
    <w:p w14:paraId="02348664"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F.to:</w:t>
      </w:r>
    </w:p>
    <w:p w14:paraId="341460E1"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Gaetano SILVESTRI, Presidente</w:t>
      </w:r>
    </w:p>
    <w:p w14:paraId="0CD55436"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Giuseppe TESAURO, Redattore</w:t>
      </w:r>
    </w:p>
    <w:p w14:paraId="6F0C5622"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Gabriella MELATTI, Cancelliere</w:t>
      </w:r>
    </w:p>
    <w:p w14:paraId="4751513C" w14:textId="77777777" w:rsidR="000B63D8" w:rsidRPr="000B63D8" w:rsidRDefault="000B63D8" w:rsidP="000B63D8">
      <w:pPr>
        <w:widowControl w:val="0"/>
        <w:autoSpaceDE w:val="0"/>
        <w:autoSpaceDN w:val="0"/>
        <w:adjustRightInd w:val="0"/>
        <w:jc w:val="both"/>
        <w:rPr>
          <w:rFonts w:ascii="Times New Roman" w:hAnsi="Times New Roman" w:cs="Times New Roman"/>
        </w:rPr>
      </w:pPr>
      <w:r w:rsidRPr="000B63D8">
        <w:rPr>
          <w:rFonts w:ascii="Times New Roman" w:hAnsi="Times New Roman" w:cs="Times New Roman"/>
        </w:rPr>
        <w:t>Depositata in Cancelleria il 10 giugno 2014.</w:t>
      </w:r>
    </w:p>
    <w:p w14:paraId="15A64071" w14:textId="77777777" w:rsidR="000B63D8" w:rsidRPr="000B63D8" w:rsidRDefault="000B63D8" w:rsidP="000B63D8">
      <w:pPr>
        <w:widowControl w:val="0"/>
        <w:autoSpaceDE w:val="0"/>
        <w:autoSpaceDN w:val="0"/>
        <w:adjustRightInd w:val="0"/>
        <w:ind w:firstLine="378"/>
        <w:jc w:val="right"/>
        <w:rPr>
          <w:rFonts w:ascii="Times New Roman" w:hAnsi="Times New Roman" w:cs="Times New Roman"/>
        </w:rPr>
      </w:pPr>
      <w:r w:rsidRPr="000B63D8">
        <w:rPr>
          <w:rFonts w:ascii="Times New Roman" w:hAnsi="Times New Roman" w:cs="Times New Roman"/>
        </w:rPr>
        <w:t>Allegato</w:t>
      </w:r>
    </w:p>
    <w:p w14:paraId="2602FA21" w14:textId="77777777" w:rsidR="000B63D8" w:rsidRPr="000B63D8" w:rsidRDefault="000B63D8" w:rsidP="000B63D8">
      <w:pPr>
        <w:widowControl w:val="0"/>
        <w:autoSpaceDE w:val="0"/>
        <w:autoSpaceDN w:val="0"/>
        <w:adjustRightInd w:val="0"/>
        <w:rPr>
          <w:rFonts w:ascii="Times New Roman" w:hAnsi="Times New Roman" w:cs="Times New Roman"/>
        </w:rPr>
      </w:pPr>
      <w:hyperlink r:id="rId52" w:history="1">
        <w:r w:rsidRPr="000B63D8">
          <w:rPr>
            <w:rFonts w:ascii="Times New Roman" w:hAnsi="Times New Roman" w:cs="Times New Roman"/>
            <w:color w:val="0000FF"/>
            <w:u w:val="single" w:color="0000FF"/>
          </w:rPr>
          <w:t>Ordinanza letta all’udienza dell’8 aprile 2014</w:t>
        </w:r>
      </w:hyperlink>
    </w:p>
    <w:p w14:paraId="5B429DFA" w14:textId="77777777" w:rsidR="00584AC0" w:rsidRPr="000B63D8" w:rsidRDefault="000B63D8" w:rsidP="000B63D8">
      <w:r w:rsidRPr="000B63D8">
        <w:rPr>
          <w:rFonts w:ascii="Times New Roman" w:hAnsi="Times New Roman" w:cs="Times New Roman"/>
        </w:rPr>
        <w:t> </w:t>
      </w:r>
    </w:p>
    <w:sectPr w:rsidR="00584AC0" w:rsidRPr="000B63D8" w:rsidSect="00584AC0">
      <w:footerReference w:type="even" r:id="rId53"/>
      <w:footerReference w:type="default" r:id="rId5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FF513" w14:textId="77777777" w:rsidR="00D25287" w:rsidRDefault="00D25287" w:rsidP="00D25287">
      <w:r>
        <w:separator/>
      </w:r>
    </w:p>
  </w:endnote>
  <w:endnote w:type="continuationSeparator" w:id="0">
    <w:p w14:paraId="6058C1BD" w14:textId="77777777" w:rsidR="00D25287" w:rsidRDefault="00D25287" w:rsidP="00D2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A932" w14:textId="77777777" w:rsidR="00D25287" w:rsidRDefault="00D25287" w:rsidP="00D9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321E486" w14:textId="77777777" w:rsidR="00D25287" w:rsidRDefault="00D25287" w:rsidP="00D25287">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0BBD" w14:textId="77777777" w:rsidR="00D25287" w:rsidRDefault="00D25287" w:rsidP="00D9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DD4A942" w14:textId="77777777" w:rsidR="00D25287" w:rsidRDefault="00D25287" w:rsidP="00D25287">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F1DFA" w14:textId="77777777" w:rsidR="00D25287" w:rsidRDefault="00D25287" w:rsidP="00D25287">
      <w:r>
        <w:separator/>
      </w:r>
    </w:p>
  </w:footnote>
  <w:footnote w:type="continuationSeparator" w:id="0">
    <w:p w14:paraId="0FED8462" w14:textId="77777777" w:rsidR="00D25287" w:rsidRDefault="00D25287" w:rsidP="00D25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D8"/>
    <w:rsid w:val="000B63D8"/>
    <w:rsid w:val="00584AC0"/>
    <w:rsid w:val="00AA2CEC"/>
    <w:rsid w:val="00D252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60D0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25287"/>
    <w:pPr>
      <w:tabs>
        <w:tab w:val="center" w:pos="4819"/>
        <w:tab w:val="right" w:pos="9638"/>
      </w:tabs>
    </w:pPr>
  </w:style>
  <w:style w:type="character" w:customStyle="1" w:styleId="PidipaginaCarattere">
    <w:name w:val="Piè di pagina Carattere"/>
    <w:basedOn w:val="Caratterepredefinitoparagrafo"/>
    <w:link w:val="Pidipagina"/>
    <w:uiPriority w:val="99"/>
    <w:rsid w:val="00D25287"/>
  </w:style>
  <w:style w:type="character" w:styleId="Numeropagina">
    <w:name w:val="page number"/>
    <w:basedOn w:val="Caratterepredefinitoparagrafo"/>
    <w:uiPriority w:val="99"/>
    <w:semiHidden/>
    <w:unhideWhenUsed/>
    <w:rsid w:val="00D252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25287"/>
    <w:pPr>
      <w:tabs>
        <w:tab w:val="center" w:pos="4819"/>
        <w:tab w:val="right" w:pos="9638"/>
      </w:tabs>
    </w:pPr>
  </w:style>
  <w:style w:type="character" w:customStyle="1" w:styleId="PidipaginaCarattere">
    <w:name w:val="Piè di pagina Carattere"/>
    <w:basedOn w:val="Caratterepredefinitoparagrafo"/>
    <w:link w:val="Pidipagina"/>
    <w:uiPriority w:val="99"/>
    <w:rsid w:val="00D25287"/>
  </w:style>
  <w:style w:type="character" w:styleId="Numeropagina">
    <w:name w:val="page number"/>
    <w:basedOn w:val="Caratterepredefinitoparagrafo"/>
    <w:uiPriority w:val="99"/>
    <w:semiHidden/>
    <w:unhideWhenUsed/>
    <w:rsid w:val="00D2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giurcost.org/fonti/parametri/031.pdf" TargetMode="External"/><Relationship Id="rId14" Type="http://schemas.openxmlformats.org/officeDocument/2006/relationships/hyperlink" Target="http://www.giurcost.org/fonti/parametri/032.pdf" TargetMode="External"/><Relationship Id="rId15" Type="http://schemas.openxmlformats.org/officeDocument/2006/relationships/hyperlink" Target="http://www.giurcost.org/fonti/parametri/029.pdf" TargetMode="External"/><Relationship Id="rId16" Type="http://schemas.openxmlformats.org/officeDocument/2006/relationships/hyperlink" Target="http://www.giurcost.org/fonti/parametri/117.pdf" TargetMode="External"/><Relationship Id="rId17" Type="http://schemas.openxmlformats.org/officeDocument/2006/relationships/hyperlink" Target="http://www.normattiva.it/uri-res/N2Ls?urn:nir:stato:legge:1955-08-04;848!vig=2014-06-10" TargetMode="External"/><Relationship Id="rId18" Type="http://schemas.openxmlformats.org/officeDocument/2006/relationships/hyperlink" Target="http://www.giurcost.org/casi_scelti/CEDU/CEDU03-11-11.htm" TargetMode="External"/><Relationship Id="rId19" Type="http://schemas.openxmlformats.org/officeDocument/2006/relationships/hyperlink" Target="http://www.giurcost.org/decisioni/2012/0150o-12.html" TargetMode="External"/><Relationship Id="rId50" Type="http://schemas.openxmlformats.org/officeDocument/2006/relationships/hyperlink" Target="http://www.giurcost.org/decisioni/2014/0001s-14.html" TargetMode="External"/><Relationship Id="rId51" Type="http://schemas.openxmlformats.org/officeDocument/2006/relationships/hyperlink" Target="http://www.giurcost.org/decisioni/1988/1009s-88.html" TargetMode="External"/><Relationship Id="rId52" Type="http://schemas.openxmlformats.org/officeDocument/2006/relationships/hyperlink" Target="http://www.giurcost.org/decisioni/2014/1006o-14.html" TargetMode="Externa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www.giurcost.org/decisioni/2013/0070s-13.html" TargetMode="External"/><Relationship Id="rId41" Type="http://schemas.openxmlformats.org/officeDocument/2006/relationships/hyperlink" Target="http://www.giurcost.org/decisioni/2005/0045s-05.html" TargetMode="External"/><Relationship Id="rId42" Type="http://schemas.openxmlformats.org/officeDocument/2006/relationships/hyperlink" Target="http://www.giurcost.org/decisioni/2005/0049s-05.html" TargetMode="External"/><Relationship Id="rId43" Type="http://schemas.openxmlformats.org/officeDocument/2006/relationships/hyperlink" Target="http://www.giurcost.org/decisioni/1958/0059s-58.html" TargetMode="External"/><Relationship Id="rId44" Type="http://schemas.openxmlformats.org/officeDocument/2006/relationships/hyperlink" Target="http://www.giurcost.org/decisioni/2011/0113s-11.html" TargetMode="External"/><Relationship Id="rId45" Type="http://schemas.openxmlformats.org/officeDocument/2006/relationships/hyperlink" Target="http://www.giurcost.org/decisioni/2014/0001s-14.html" TargetMode="External"/><Relationship Id="rId46" Type="http://schemas.openxmlformats.org/officeDocument/2006/relationships/hyperlink" Target="http://www.giurcost.org/decisioni/2013/0278s-13.html" TargetMode="External"/><Relationship Id="rId47" Type="http://schemas.openxmlformats.org/officeDocument/2006/relationships/hyperlink" Target="http://www.giurcost.org/decisioni/2013/0278s-13.html" TargetMode="External"/><Relationship Id="rId48" Type="http://schemas.openxmlformats.org/officeDocument/2006/relationships/hyperlink" Target="http://www.giurcost.org/decisioni/2012/0087s-12.html" TargetMode="External"/><Relationship Id="rId49" Type="http://schemas.openxmlformats.org/officeDocument/2006/relationships/hyperlink" Target="http://www.giurcost.org/decisioni/1988/1130s-88.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ormattiva.it/uri-res/N2Ls?urn:nir:stato:legge:2004-02-19;40!vig=2014-06-10" TargetMode="External"/><Relationship Id="rId8" Type="http://schemas.openxmlformats.org/officeDocument/2006/relationships/hyperlink" Target="http://www.giurcost.org/cronache/ORD/ordMILANOpma.pdf" TargetMode="External"/><Relationship Id="rId9" Type="http://schemas.openxmlformats.org/officeDocument/2006/relationships/hyperlink" Target="http://www.giurcost.org/cronache/ORD/ordFIRENZEpma.pdf" TargetMode="External"/><Relationship Id="rId30" Type="http://schemas.openxmlformats.org/officeDocument/2006/relationships/hyperlink" Target="http://www.giurcost.org/decisioni/1981/0011s-81.html" TargetMode="External"/><Relationship Id="rId31" Type="http://schemas.openxmlformats.org/officeDocument/2006/relationships/hyperlink" Target="http://www.giurcost.org/decisioni/2008/0251s-08.html" TargetMode="External"/><Relationship Id="rId32" Type="http://schemas.openxmlformats.org/officeDocument/2006/relationships/hyperlink" Target="http://www.giurcost.org/decisioni/2004/0113s-04.html" TargetMode="External"/><Relationship Id="rId33" Type="http://schemas.openxmlformats.org/officeDocument/2006/relationships/hyperlink" Target="http://www.giurcost.org/decisioni/2003/0253s-03.html" TargetMode="External"/><Relationship Id="rId34" Type="http://schemas.openxmlformats.org/officeDocument/2006/relationships/hyperlink" Target="http://www.giurcost.org/decisioni/1999/0167s-99.html" TargetMode="External"/><Relationship Id="rId35" Type="http://schemas.openxmlformats.org/officeDocument/2006/relationships/hyperlink" Target="http://www.giurcost.org/decisioni/1985/0161s-85.html" TargetMode="External"/><Relationship Id="rId36" Type="http://schemas.openxmlformats.org/officeDocument/2006/relationships/hyperlink" Target="http://www.giurcost.org/decisioni/2010/0080s-10.html" TargetMode="External"/><Relationship Id="rId37" Type="http://schemas.openxmlformats.org/officeDocument/2006/relationships/hyperlink" Target="http://www.giurcost.org/decisioni/2008/0251s-08.html" TargetMode="External"/><Relationship Id="rId38" Type="http://schemas.openxmlformats.org/officeDocument/2006/relationships/hyperlink" Target="http://www.giurcost.org/decisioni/2011/0008s-11.html" TargetMode="External"/><Relationship Id="rId39" Type="http://schemas.openxmlformats.org/officeDocument/2006/relationships/hyperlink" Target="http://www.giurcost.org/decisioni/2009/0151s-09.html" TargetMode="External"/><Relationship Id="rId20" Type="http://schemas.openxmlformats.org/officeDocument/2006/relationships/hyperlink" Target="http://www.giurcost.org/casi_scelti/CEDU/CEDU03-11-11.htm" TargetMode="External"/><Relationship Id="rId21" Type="http://schemas.openxmlformats.org/officeDocument/2006/relationships/hyperlink" Target="http://www.giurcost.org/decisioni/1998/0347s-98.html" TargetMode="External"/><Relationship Id="rId22" Type="http://schemas.openxmlformats.org/officeDocument/2006/relationships/hyperlink" Target="http://www.giurcost.org/decisioni/2005/0045s-05.html" TargetMode="External"/><Relationship Id="rId23" Type="http://schemas.openxmlformats.org/officeDocument/2006/relationships/hyperlink" Target="http://www.giurcost.org/decisioni/2009/0151s-09.html" TargetMode="External"/><Relationship Id="rId24" Type="http://schemas.openxmlformats.org/officeDocument/2006/relationships/hyperlink" Target="http://www.giurcost.org/decisioni/1998/0347s-98.html" TargetMode="External"/><Relationship Id="rId25" Type="http://schemas.openxmlformats.org/officeDocument/2006/relationships/hyperlink" Target="http://www.giurcost.org/decisioni/2005/0049s-05.html" TargetMode="External"/><Relationship Id="rId26" Type="http://schemas.openxmlformats.org/officeDocument/2006/relationships/hyperlink" Target="http://www.giurcost.org/decisioni/2000/0332s-00.html" TargetMode="External"/><Relationship Id="rId27" Type="http://schemas.openxmlformats.org/officeDocument/2006/relationships/hyperlink" Target="http://www.giurcost.org/decisioni/2009/0151s-09.html" TargetMode="External"/><Relationship Id="rId28" Type="http://schemas.openxmlformats.org/officeDocument/2006/relationships/hyperlink" Target="http://www.giurcost.org/decisioni/1991/0189s-91.html" TargetMode="External"/><Relationship Id="rId29" Type="http://schemas.openxmlformats.org/officeDocument/2006/relationships/hyperlink" Target="http://www.giurcost.org/decisioni/1990/0123s-90.html" TargetMode="External"/><Relationship Id="rId10" Type="http://schemas.openxmlformats.org/officeDocument/2006/relationships/hyperlink" Target="http://www.giurcost.org/cronache/ORD/ordCATANIApma.pdf" TargetMode="External"/><Relationship Id="rId11" Type="http://schemas.openxmlformats.org/officeDocument/2006/relationships/hyperlink" Target="http://www.giurcost.org/fonti/parametri/003.pdf" TargetMode="External"/><Relationship Id="rId12" Type="http://schemas.openxmlformats.org/officeDocument/2006/relationships/hyperlink" Target="http://www.giurcost.org/fonti/parametri/002.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6967</Words>
  <Characters>39714</Characters>
  <Application>Microsoft Macintosh Word</Application>
  <DocSecurity>0</DocSecurity>
  <Lines>330</Lines>
  <Paragraphs>93</Paragraphs>
  <ScaleCrop>false</ScaleCrop>
  <Company/>
  <LinksUpToDate>false</LinksUpToDate>
  <CharactersWithSpaces>46588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Ruggiu</dc:creator>
  <cp:keywords/>
  <dc:description/>
  <cp:lastModifiedBy>Ilenia Ruggiu</cp:lastModifiedBy>
  <cp:revision>3</cp:revision>
  <dcterms:created xsi:type="dcterms:W3CDTF">2015-12-09T14:12:00Z</dcterms:created>
  <dcterms:modified xsi:type="dcterms:W3CDTF">2015-12-09T14:21:00Z</dcterms:modified>
</cp:coreProperties>
</file>