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A4EFF" w14:textId="77777777" w:rsidR="00267888" w:rsidRDefault="00267888" w:rsidP="00BA7269">
      <w:pPr>
        <w:widowControl w:val="0"/>
        <w:autoSpaceDE w:val="0"/>
        <w:autoSpaceDN w:val="0"/>
        <w:adjustRightInd w:val="0"/>
        <w:spacing w:line="360" w:lineRule="auto"/>
        <w:jc w:val="both"/>
        <w:rPr>
          <w:rFonts w:ascii="Times New Roman" w:hAnsi="Times New Roman" w:cs="Times New Roman"/>
          <w:sz w:val="32"/>
          <w:szCs w:val="32"/>
        </w:rPr>
      </w:pPr>
      <w:r>
        <w:rPr>
          <w:rFonts w:ascii="Verdana" w:hAnsi="Verdana" w:cs="Verdana"/>
          <w:b/>
          <w:bCs/>
          <w:color w:val="535353"/>
          <w:sz w:val="26"/>
          <w:szCs w:val="26"/>
        </w:rPr>
        <w:t>ZWINGLI E LUTERO </w:t>
      </w:r>
      <w:r>
        <w:rPr>
          <w:rFonts w:ascii="Verdana" w:hAnsi="Verdana" w:cs="Verdana"/>
          <w:color w:val="535353"/>
          <w:sz w:val="26"/>
          <w:szCs w:val="26"/>
        </w:rPr>
        <w:t>DUE RIFORMATORI DIVISI DAL SIGNIFICATO DELL’EUCARISTIA</w:t>
      </w:r>
      <w:r>
        <w:rPr>
          <w:rFonts w:ascii="Verdana" w:hAnsi="Verdana" w:cs="Verdana"/>
          <w:color w:val="224274"/>
          <w:sz w:val="20"/>
          <w:szCs w:val="20"/>
        </w:rPr>
        <w:t> di Carlo Siracusa</w:t>
      </w:r>
    </w:p>
    <w:p w14:paraId="10D576BD" w14:textId="77777777" w:rsidR="00267888" w:rsidRDefault="00267888" w:rsidP="00BA7269">
      <w:pPr>
        <w:widowControl w:val="0"/>
        <w:autoSpaceDE w:val="0"/>
        <w:autoSpaceDN w:val="0"/>
        <w:adjustRightInd w:val="0"/>
        <w:spacing w:line="360" w:lineRule="auto"/>
        <w:jc w:val="both"/>
        <w:rPr>
          <w:rFonts w:ascii="Times New Roman" w:hAnsi="Times New Roman" w:cs="Times New Roman"/>
          <w:sz w:val="32"/>
          <w:szCs w:val="32"/>
        </w:rPr>
      </w:pPr>
      <w:r>
        <w:rPr>
          <w:rFonts w:ascii="Times New Roman" w:hAnsi="Times New Roman" w:cs="Times New Roman"/>
          <w:sz w:val="32"/>
          <w:szCs w:val="32"/>
        </w:rPr>
        <w:t> </w:t>
      </w:r>
    </w:p>
    <w:p w14:paraId="6838EBED"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La teologia sacramentale rappresentava, agli occhi dei Riformatori, quel che di male c’era nella teologia medievale. Riconoscevano il bisogno di giungere a una versione più antica e più semplice della teologia cristiana. Per loro la teologia sacramentale si presentava come una pianta che </w:t>
      </w:r>
      <w:proofErr w:type="gramStart"/>
      <w:r>
        <w:rPr>
          <w:rFonts w:ascii="Verdana" w:hAnsi="Verdana" w:cs="Verdana"/>
          <w:sz w:val="26"/>
          <w:szCs w:val="26"/>
        </w:rPr>
        <w:t>necessitava di</w:t>
      </w:r>
      <w:proofErr w:type="gramEnd"/>
      <w:r>
        <w:rPr>
          <w:rFonts w:ascii="Verdana" w:hAnsi="Verdana" w:cs="Verdana"/>
          <w:sz w:val="26"/>
          <w:szCs w:val="26"/>
        </w:rPr>
        <w:t xml:space="preserve"> una potatura radicale. </w:t>
      </w:r>
      <w:proofErr w:type="gramStart"/>
      <w:r>
        <w:rPr>
          <w:rFonts w:ascii="Verdana" w:hAnsi="Verdana" w:cs="Verdana"/>
          <w:sz w:val="26"/>
          <w:szCs w:val="26"/>
        </w:rPr>
        <w:t>Venne</w:t>
      </w:r>
      <w:proofErr w:type="gramEnd"/>
      <w:r>
        <w:rPr>
          <w:rFonts w:ascii="Verdana" w:hAnsi="Verdana" w:cs="Verdana"/>
          <w:sz w:val="26"/>
          <w:szCs w:val="26"/>
        </w:rPr>
        <w:t xml:space="preserve"> lanciato, così, un attacco contro la concezione medievale del numero, della natura e della funzione dei sacramenti, riducendoli da sette a due: il battesimo e l’eucaristia.</w:t>
      </w:r>
    </w:p>
    <w:p w14:paraId="6ABFD6EF"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Per ciò che concerneva la teologia dell’eucaristia, si aprì un grave contrasto tra Lutero e </w:t>
      </w:r>
      <w:proofErr w:type="spellStart"/>
      <w:r>
        <w:rPr>
          <w:rFonts w:ascii="Verdana" w:hAnsi="Verdana" w:cs="Verdana"/>
          <w:sz w:val="26"/>
          <w:szCs w:val="26"/>
        </w:rPr>
        <w:t>Zwingli</w:t>
      </w:r>
      <w:proofErr w:type="spellEnd"/>
      <w:r>
        <w:rPr>
          <w:rFonts w:ascii="Verdana" w:hAnsi="Verdana" w:cs="Verdana"/>
          <w:sz w:val="26"/>
          <w:szCs w:val="26"/>
        </w:rPr>
        <w:t xml:space="preserve">, i </w:t>
      </w:r>
      <w:proofErr w:type="spellStart"/>
      <w:r>
        <w:rPr>
          <w:rFonts w:ascii="Verdana" w:hAnsi="Verdana" w:cs="Verdana"/>
          <w:sz w:val="26"/>
          <w:szCs w:val="26"/>
        </w:rPr>
        <w:t>leaders</w:t>
      </w:r>
      <w:proofErr w:type="spellEnd"/>
      <w:r>
        <w:rPr>
          <w:rFonts w:ascii="Verdana" w:hAnsi="Verdana" w:cs="Verdana"/>
          <w:sz w:val="26"/>
          <w:szCs w:val="26"/>
        </w:rPr>
        <w:t xml:space="preserve"> delle due ali della Riforma classica, i quali non riuscirono a trovare un’intesa sul significato della presenza di Cristo nell’eucaristia.</w:t>
      </w:r>
      <w:proofErr w:type="gramStart"/>
      <w:r>
        <w:rPr>
          <w:rFonts w:ascii="Verdana" w:hAnsi="Verdana" w:cs="Verdana"/>
          <w:sz w:val="26"/>
          <w:szCs w:val="26"/>
        </w:rPr>
        <w:t> Secondo</w:t>
      </w:r>
      <w:proofErr w:type="gramEnd"/>
      <w:r>
        <w:rPr>
          <w:rFonts w:ascii="Verdana" w:hAnsi="Verdana" w:cs="Verdana"/>
          <w:sz w:val="26"/>
          <w:szCs w:val="26"/>
        </w:rPr>
        <w:t xml:space="preserve"> la teoria classica della transustanziazione, il pane e il vino della messa, dopo la consacrazione, pur mantenendo la loro apparenza esterna, sono trasformati rispettivamente nella ‘sostanza’ del corpo e del sangue di Cristo. Ma i Riformatori non erano dello stesso pensiero, </w:t>
      </w:r>
      <w:proofErr w:type="gramStart"/>
      <w:r>
        <w:rPr>
          <w:rFonts w:ascii="Verdana" w:hAnsi="Verdana" w:cs="Verdana"/>
          <w:sz w:val="26"/>
          <w:szCs w:val="26"/>
        </w:rPr>
        <w:t>in quanto</w:t>
      </w:r>
      <w:proofErr w:type="gramEnd"/>
      <w:r>
        <w:rPr>
          <w:rFonts w:ascii="Verdana" w:hAnsi="Verdana" w:cs="Verdana"/>
          <w:sz w:val="26"/>
          <w:szCs w:val="26"/>
        </w:rPr>
        <w:t xml:space="preserve"> la messa sarebbe divenuta una sorta di ‘ripetizione’ continua del sacrificio di Cristo.</w:t>
      </w:r>
    </w:p>
    <w:p w14:paraId="5CA587FB"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La Riforma, invece, dava risalto al tema dell’adattamento divino alla debolezza umana, un’idea che si rifà a Calvino, il quale faceva questo ragionamento: tutti i buoni oratori conoscono i limiti intellettuali del loro uditorio e adattano il loro modo di esprimersi e modificano il proprio linguaggio, per venire incontro alle necessità del loro uditorio evitando parole e concetti difficili, e sostituendoli con locuzioni più adeguate. Ebbene, Dio fa lo stesso: si adatta alle nostre limitazioni, scende al nostro livello usando un linguaggio </w:t>
      </w:r>
      <w:proofErr w:type="gramStart"/>
      <w:r>
        <w:rPr>
          <w:rFonts w:ascii="Verdana" w:hAnsi="Verdana" w:cs="Verdana"/>
          <w:sz w:val="26"/>
          <w:szCs w:val="26"/>
        </w:rPr>
        <w:t xml:space="preserve">di </w:t>
      </w:r>
      <w:proofErr w:type="gramEnd"/>
      <w:r>
        <w:rPr>
          <w:rFonts w:ascii="Verdana" w:hAnsi="Verdana" w:cs="Verdana"/>
          <w:sz w:val="26"/>
          <w:szCs w:val="26"/>
        </w:rPr>
        <w:t xml:space="preserve">immagini vigorose che gli permettono di rivelarsi a una grande varietà di persone.   Il fatto che Dio usi dei </w:t>
      </w:r>
      <w:proofErr w:type="gramStart"/>
      <w:r>
        <w:rPr>
          <w:rFonts w:ascii="Verdana" w:hAnsi="Verdana" w:cs="Verdana"/>
          <w:sz w:val="26"/>
          <w:szCs w:val="26"/>
        </w:rPr>
        <w:t>mezzi</w:t>
      </w:r>
      <w:proofErr w:type="gramEnd"/>
      <w:r>
        <w:rPr>
          <w:rFonts w:ascii="Verdana" w:hAnsi="Verdana" w:cs="Verdana"/>
          <w:sz w:val="26"/>
          <w:szCs w:val="26"/>
        </w:rPr>
        <w:t xml:space="preserve"> molto umili per rivelarsi, non implica alcuna debolezza o carenza da parte sua; piuttosto, la necessità di adottare mezzi </w:t>
      </w:r>
      <w:r>
        <w:rPr>
          <w:rFonts w:ascii="Verdana" w:hAnsi="Verdana" w:cs="Verdana"/>
          <w:sz w:val="26"/>
          <w:szCs w:val="26"/>
        </w:rPr>
        <w:lastRenderedPageBreak/>
        <w:t xml:space="preserve">espressivi, rispecchia la nostra debolezza e le nostre limitazioni, che Dio riconosce e di cui tiene conto. Egli usa svariati modi per creare e sostenere la fede: parole, concetti, analogie, modelli, segni e simboli. Il pane e il </w:t>
      </w:r>
      <w:proofErr w:type="gramStart"/>
      <w:r>
        <w:rPr>
          <w:rFonts w:ascii="Verdana" w:hAnsi="Verdana" w:cs="Verdana"/>
          <w:sz w:val="26"/>
          <w:szCs w:val="26"/>
        </w:rPr>
        <w:t>vino,</w:t>
      </w:r>
      <w:proofErr w:type="gramEnd"/>
      <w:r>
        <w:rPr>
          <w:rFonts w:ascii="Verdana" w:hAnsi="Verdana" w:cs="Verdana"/>
          <w:sz w:val="26"/>
          <w:szCs w:val="26"/>
        </w:rPr>
        <w:t xml:space="preserve"> vanno intesi come un elemento importante in questo arsenale di risorse. Dio ha così aggiunto alla sua Parola dei segni visibili e tangibili del suo favore e della sua misericordia. </w:t>
      </w:r>
      <w:proofErr w:type="gramStart"/>
      <w:r>
        <w:rPr>
          <w:rFonts w:ascii="Verdana" w:hAnsi="Verdana" w:cs="Verdana"/>
          <w:sz w:val="26"/>
          <w:szCs w:val="26"/>
        </w:rPr>
        <w:t>Insomma, una sorta di adattamento alle nostre limitazioni, al bisogno di avere dei segni</w:t>
      </w:r>
      <w:proofErr w:type="gramEnd"/>
      <w:r>
        <w:rPr>
          <w:rFonts w:ascii="Verdana" w:hAnsi="Verdana" w:cs="Verdana"/>
          <w:sz w:val="26"/>
          <w:szCs w:val="26"/>
        </w:rPr>
        <w:t>. Il pane e il vino sono, per l’appunto, dei segni sacramentali che accrescono la nostra fede in Dio, ci rassicurano sulla realtà della divina promessa di perdono rendendoci più facile accettarla.</w:t>
      </w:r>
    </w:p>
    <w:p w14:paraId="555E9D5F"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Lutero spiegò il pane e il vino della Santa Cena, usando l’idea di ‘testamento’, inteso come ‘atto di ultime volontà’. </w:t>
      </w:r>
      <w:proofErr w:type="gramStart"/>
      <w:r>
        <w:rPr>
          <w:rFonts w:ascii="Verdana" w:hAnsi="Verdana" w:cs="Verdana"/>
          <w:sz w:val="26"/>
          <w:szCs w:val="26"/>
        </w:rPr>
        <w:t>Ne</w:t>
      </w:r>
      <w:proofErr w:type="gramEnd"/>
      <w:r>
        <w:rPr>
          <w:rFonts w:ascii="Verdana" w:hAnsi="Verdana" w:cs="Verdana"/>
          <w:sz w:val="26"/>
          <w:szCs w:val="26"/>
        </w:rPr>
        <w:t xml:space="preserve"> trattò in modo esauriente nel suo scritto “La cattività babilonese della chiesa” (1520) in Scritti politici cit., pp.253-4: “Si chiama testamento la promessa di chi sta per morire, promessa con cui definisce la sua eredità ed istituisce gli eredi. Il testamento comporta pertanto innanzitutto la morte del testatore, e in secondo luogo la promessa di un’eredità e la designazione degli eredi […]. Ciò noi vediamo chiaramente anche nelle parole di Cristo. Egli testimonia della sua morte quando dice:</w:t>
      </w:r>
      <w:proofErr w:type="gramStart"/>
      <w:r>
        <w:rPr>
          <w:rFonts w:ascii="Verdana" w:hAnsi="Verdana" w:cs="Verdana"/>
          <w:sz w:val="26"/>
          <w:szCs w:val="26"/>
        </w:rPr>
        <w:t xml:space="preserve"> ‘</w:t>
      </w:r>
      <w:proofErr w:type="gramEnd"/>
      <w:r>
        <w:rPr>
          <w:rFonts w:ascii="Verdana" w:hAnsi="Verdana" w:cs="Verdana"/>
          <w:sz w:val="26"/>
          <w:szCs w:val="26"/>
        </w:rPr>
        <w:t>Questo è il mio corpo che sarà dato, questo il mio sangue che sarà versato’; nomina e precisa l’eredità quando dice: ‘in remissione dei peccati’; istituisce poi gli eredi dicendo: ‘per voi e per molti’, cioè per quelli che accettano e credono nella promessa del testatore”.</w:t>
      </w:r>
    </w:p>
    <w:p w14:paraId="29C822A6"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Lutero scagliò un forte attacco contro la concezione cattolica dei </w:t>
      </w:r>
      <w:proofErr w:type="gramStart"/>
      <w:r>
        <w:rPr>
          <w:rFonts w:ascii="Verdana" w:hAnsi="Verdana" w:cs="Verdana"/>
          <w:sz w:val="26"/>
          <w:szCs w:val="26"/>
        </w:rPr>
        <w:t>sacramenti, ma</w:t>
      </w:r>
      <w:proofErr w:type="gramEnd"/>
      <w:r>
        <w:rPr>
          <w:rFonts w:ascii="Verdana" w:hAnsi="Verdana" w:cs="Verdana"/>
          <w:sz w:val="26"/>
          <w:szCs w:val="26"/>
        </w:rPr>
        <w:t xml:space="preserve"> Enrico VIII, re d’Inghilterra, ricevuto dal papa il titolo di </w:t>
      </w:r>
      <w:proofErr w:type="spellStart"/>
      <w:r>
        <w:rPr>
          <w:rFonts w:ascii="Verdana" w:hAnsi="Verdana" w:cs="Verdana"/>
          <w:sz w:val="26"/>
          <w:szCs w:val="26"/>
        </w:rPr>
        <w:t>Fidei</w:t>
      </w:r>
      <w:proofErr w:type="spellEnd"/>
      <w:r>
        <w:rPr>
          <w:rFonts w:ascii="Verdana" w:hAnsi="Verdana" w:cs="Verdana"/>
          <w:sz w:val="26"/>
          <w:szCs w:val="26"/>
        </w:rPr>
        <w:t xml:space="preserve"> Defensor (difensore della fede), riaffermò l’esistenza di sette sacramenti. Nel corso </w:t>
      </w:r>
      <w:proofErr w:type="gramStart"/>
      <w:r>
        <w:rPr>
          <w:rFonts w:ascii="Verdana" w:hAnsi="Verdana" w:cs="Verdana"/>
          <w:sz w:val="26"/>
          <w:szCs w:val="26"/>
        </w:rPr>
        <w:t>dell’XI</w:t>
      </w:r>
      <w:proofErr w:type="gramEnd"/>
      <w:r>
        <w:rPr>
          <w:rFonts w:ascii="Verdana" w:hAnsi="Verdana" w:cs="Verdana"/>
          <w:sz w:val="26"/>
          <w:szCs w:val="26"/>
        </w:rPr>
        <w:t xml:space="preserve"> secolo, capitò che, alcuni laici poco attenti </w:t>
      </w:r>
      <w:proofErr w:type="gramStart"/>
      <w:r>
        <w:rPr>
          <w:rFonts w:ascii="Verdana" w:hAnsi="Verdana" w:cs="Verdana"/>
          <w:sz w:val="26"/>
          <w:szCs w:val="26"/>
        </w:rPr>
        <w:t>al</w:t>
      </w:r>
      <w:proofErr w:type="gramEnd"/>
      <w:r>
        <w:rPr>
          <w:rFonts w:ascii="Verdana" w:hAnsi="Verdana" w:cs="Verdana"/>
          <w:sz w:val="26"/>
          <w:szCs w:val="26"/>
        </w:rPr>
        <w:t xml:space="preserve"> modo in cui ricevevano il vino, versarono sul pavimento delle chiese, quello che la teologia della transustanziazione considerava il vero e proprio sangue di Cristo. Onde evitare un incidente così forte, nel corso del XIII secolo, i laici </w:t>
      </w:r>
      <w:proofErr w:type="gramStart"/>
      <w:r>
        <w:rPr>
          <w:rFonts w:ascii="Verdana" w:hAnsi="Verdana" w:cs="Verdana"/>
          <w:sz w:val="26"/>
          <w:szCs w:val="26"/>
        </w:rPr>
        <w:t>vennero</w:t>
      </w:r>
      <w:proofErr w:type="gramEnd"/>
      <w:r>
        <w:rPr>
          <w:rFonts w:ascii="Verdana" w:hAnsi="Verdana" w:cs="Verdana"/>
          <w:sz w:val="26"/>
          <w:szCs w:val="26"/>
        </w:rPr>
        <w:t xml:space="preserve"> esclusi dal ricevere il vino. Per Lutero, il rifiuto di offrire il calice ai laici era un peccato. Così, l’offerta del calice divenne un segno distintivo dell’adesione alla comunità della Riforma. </w:t>
      </w:r>
      <w:proofErr w:type="gramStart"/>
      <w:r>
        <w:rPr>
          <w:rFonts w:ascii="Verdana" w:hAnsi="Verdana" w:cs="Verdana"/>
          <w:sz w:val="26"/>
          <w:szCs w:val="26"/>
        </w:rPr>
        <w:t>Ma</w:t>
      </w:r>
      <w:proofErr w:type="gramEnd"/>
      <w:r>
        <w:rPr>
          <w:rFonts w:ascii="Verdana" w:hAnsi="Verdana" w:cs="Verdana"/>
          <w:sz w:val="26"/>
          <w:szCs w:val="26"/>
        </w:rPr>
        <w:t xml:space="preserve"> la dottrina della transustanziazione per Lutero era un’assurdità. Per lui, ciò che si deve credere è che Cristo è realmente presente nell’eucaristia.</w:t>
      </w:r>
    </w:p>
    <w:p w14:paraId="7DE60BAC"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La teoria della transustanziazione sostiene che il pane e il vino (ossia il loro aspetto esteriore) rimangono invariati, mentre cambia la ‘sostanza’ invisibile: cessa di essere quella del pane e del vino per diventare quella del corpo e del sangue di Gesù Cristo. Lutero rifiutò come assurda questa pseudo-filosofia e chiese che l’uso di tali idee aristoteliche </w:t>
      </w:r>
      <w:proofErr w:type="gramStart"/>
      <w:r>
        <w:rPr>
          <w:rFonts w:ascii="Verdana" w:hAnsi="Verdana" w:cs="Verdana"/>
          <w:sz w:val="26"/>
          <w:szCs w:val="26"/>
        </w:rPr>
        <w:t>venisse</w:t>
      </w:r>
      <w:proofErr w:type="gramEnd"/>
      <w:r>
        <w:rPr>
          <w:rFonts w:ascii="Verdana" w:hAnsi="Verdana" w:cs="Verdana"/>
          <w:sz w:val="26"/>
          <w:szCs w:val="26"/>
        </w:rPr>
        <w:t xml:space="preserve"> abbandonato. Non c’era posto per tali idee nella teologia cristiana! Lutero non contestava la ‘presenza reale’, ma soltanto quel determinato modo di spiegare tale presenza. Affermava che, se si fosse potuto dimostrare che tale idea era anti-biblica, sarebbe stato il primo ad abbandonarla. Perch</w:t>
      </w:r>
      <w:r w:rsidR="00BA7269">
        <w:rPr>
          <w:rFonts w:ascii="Verdana" w:hAnsi="Verdana" w:cs="Verdana"/>
          <w:sz w:val="26"/>
          <w:szCs w:val="26"/>
        </w:rPr>
        <w:t>é</w:t>
      </w:r>
      <w:r>
        <w:rPr>
          <w:rFonts w:ascii="Verdana" w:hAnsi="Verdana" w:cs="Verdana"/>
          <w:sz w:val="26"/>
          <w:szCs w:val="26"/>
        </w:rPr>
        <w:t xml:space="preserve"> secondo lui, Matteo </w:t>
      </w:r>
      <w:proofErr w:type="gramStart"/>
      <w:r>
        <w:rPr>
          <w:rFonts w:ascii="Verdana" w:hAnsi="Verdana" w:cs="Verdana"/>
          <w:sz w:val="26"/>
          <w:szCs w:val="26"/>
        </w:rPr>
        <w:t>26</w:t>
      </w:r>
      <w:proofErr w:type="gramEnd"/>
      <w:r>
        <w:rPr>
          <w:rFonts w:ascii="Verdana" w:hAnsi="Verdana" w:cs="Verdana"/>
          <w:sz w:val="26"/>
          <w:szCs w:val="26"/>
        </w:rPr>
        <w:t>:26 “Questo è il mio corpo”, era perfettamente chiaro nel suo senso letterale e non ammetteva alcun’altra spiegazione.</w:t>
      </w:r>
    </w:p>
    <w:p w14:paraId="7D5ACFB9"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Andrea </w:t>
      </w:r>
      <w:proofErr w:type="spellStart"/>
      <w:r>
        <w:rPr>
          <w:rFonts w:ascii="Verdana" w:hAnsi="Verdana" w:cs="Verdana"/>
          <w:sz w:val="26"/>
          <w:szCs w:val="26"/>
        </w:rPr>
        <w:t>Carlostadio</w:t>
      </w:r>
      <w:proofErr w:type="spellEnd"/>
      <w:r>
        <w:rPr>
          <w:rFonts w:ascii="Verdana" w:hAnsi="Verdana" w:cs="Verdana"/>
          <w:sz w:val="26"/>
          <w:szCs w:val="26"/>
        </w:rPr>
        <w:t xml:space="preserve">, che era stato suo collega </w:t>
      </w:r>
      <w:proofErr w:type="gramStart"/>
      <w:r>
        <w:rPr>
          <w:rFonts w:ascii="Verdana" w:hAnsi="Verdana" w:cs="Verdana"/>
          <w:sz w:val="26"/>
          <w:szCs w:val="26"/>
        </w:rPr>
        <w:t>ed</w:t>
      </w:r>
      <w:proofErr w:type="gramEnd"/>
      <w:r>
        <w:rPr>
          <w:rFonts w:ascii="Verdana" w:hAnsi="Verdana" w:cs="Verdana"/>
          <w:sz w:val="26"/>
          <w:szCs w:val="26"/>
        </w:rPr>
        <w:t xml:space="preserve"> amico, aveva un’opinione diversa: secondo lui, nel dire quelle parole, Cristo indicava se stesso. Non fu difficile per Lutero liquidare tale idea come un’errata interpretazione del testo.</w:t>
      </w:r>
    </w:p>
    <w:p w14:paraId="1FDFF15B" w14:textId="77777777" w:rsidR="00BA7269" w:rsidRDefault="00267888" w:rsidP="00BA7269">
      <w:pPr>
        <w:spacing w:line="360" w:lineRule="auto"/>
        <w:jc w:val="both"/>
        <w:rPr>
          <w:rFonts w:ascii="Verdana" w:hAnsi="Verdana" w:cs="Verdana"/>
          <w:sz w:val="26"/>
          <w:szCs w:val="26"/>
        </w:rPr>
      </w:pPr>
      <w:r>
        <w:rPr>
          <w:rFonts w:ascii="Verdana" w:hAnsi="Verdana" w:cs="Verdana"/>
          <w:sz w:val="26"/>
          <w:szCs w:val="26"/>
        </w:rPr>
        <w:t xml:space="preserve">Ma gli fu molto più difficile confutare l’affermazione di </w:t>
      </w:r>
      <w:proofErr w:type="spellStart"/>
      <w:r>
        <w:rPr>
          <w:rFonts w:ascii="Verdana" w:hAnsi="Verdana" w:cs="Verdana"/>
          <w:sz w:val="26"/>
          <w:szCs w:val="26"/>
        </w:rPr>
        <w:t>Zwingli</w:t>
      </w:r>
      <w:proofErr w:type="spellEnd"/>
      <w:r>
        <w:rPr>
          <w:rFonts w:ascii="Verdana" w:hAnsi="Verdana" w:cs="Verdana"/>
          <w:sz w:val="26"/>
          <w:szCs w:val="26"/>
        </w:rPr>
        <w:t xml:space="preserve"> secondo cui la parola “è</w:t>
      </w:r>
      <w:proofErr w:type="gramStart"/>
      <w:r>
        <w:rPr>
          <w:rFonts w:ascii="Verdana" w:hAnsi="Verdana" w:cs="Verdana"/>
          <w:sz w:val="26"/>
          <w:szCs w:val="26"/>
        </w:rPr>
        <w:t>”</w:t>
      </w:r>
      <w:proofErr w:type="gramEnd"/>
      <w:r>
        <w:rPr>
          <w:rFonts w:ascii="Verdana" w:hAnsi="Verdana" w:cs="Verdana"/>
          <w:sz w:val="26"/>
          <w:szCs w:val="26"/>
        </w:rPr>
        <w:t xml:space="preserve"> era una semplice figura retorica per dire “significa”, o “rappresenta”, e non andava quindi intesa letteralmente. </w:t>
      </w:r>
      <w:proofErr w:type="gramStart"/>
      <w:r>
        <w:rPr>
          <w:rFonts w:ascii="Verdana" w:hAnsi="Verdana" w:cs="Verdana"/>
          <w:sz w:val="26"/>
          <w:szCs w:val="26"/>
        </w:rPr>
        <w:t>La si</w:t>
      </w:r>
      <w:proofErr w:type="gramEnd"/>
      <w:r>
        <w:rPr>
          <w:rFonts w:ascii="Verdana" w:hAnsi="Verdana" w:cs="Verdana"/>
          <w:sz w:val="26"/>
          <w:szCs w:val="26"/>
        </w:rPr>
        <w:t xml:space="preserve"> doveva accostare ai casi in cui Gesù disse: “Io sono la porta”, o “Io sono la via”, come vedremo anche più avanti.  </w:t>
      </w:r>
      <w:proofErr w:type="spellStart"/>
      <w:r>
        <w:rPr>
          <w:rFonts w:ascii="Verdana" w:hAnsi="Verdana" w:cs="Verdana"/>
          <w:sz w:val="26"/>
          <w:szCs w:val="26"/>
        </w:rPr>
        <w:t>Zwingli</w:t>
      </w:r>
      <w:proofErr w:type="spellEnd"/>
      <w:r>
        <w:rPr>
          <w:rFonts w:ascii="Verdana" w:hAnsi="Verdana" w:cs="Verdana"/>
          <w:sz w:val="26"/>
          <w:szCs w:val="26"/>
        </w:rPr>
        <w:t xml:space="preserve"> era cappellano delle milizie della Confederazione svizzera. Ispirandosi all’uso militare del giuramento, </w:t>
      </w:r>
      <w:proofErr w:type="spellStart"/>
      <w:r>
        <w:rPr>
          <w:rFonts w:ascii="Verdana" w:hAnsi="Verdana" w:cs="Verdana"/>
          <w:sz w:val="26"/>
          <w:szCs w:val="26"/>
        </w:rPr>
        <w:t>Zwingli</w:t>
      </w:r>
      <w:proofErr w:type="spellEnd"/>
      <w:r>
        <w:rPr>
          <w:rFonts w:ascii="Verdana" w:hAnsi="Verdana" w:cs="Verdana"/>
          <w:sz w:val="26"/>
          <w:szCs w:val="26"/>
        </w:rPr>
        <w:t xml:space="preserve"> spiegò che il “sacramento” è sostanzialmente una dichiarazione di fed</w:t>
      </w:r>
      <w:bookmarkStart w:id="0" w:name="_GoBack"/>
      <w:bookmarkEnd w:id="0"/>
      <w:r>
        <w:rPr>
          <w:rFonts w:ascii="Verdana" w:hAnsi="Verdana" w:cs="Verdana"/>
          <w:sz w:val="26"/>
          <w:szCs w:val="26"/>
        </w:rPr>
        <w:t xml:space="preserve">eltà che un individuo fa a una comunità. Come il soldato giura fedeltà al suo esercito, così il cristiano giura fedeltà ai suoi correligionari cristiani. Per </w:t>
      </w:r>
      <w:proofErr w:type="spellStart"/>
      <w:r>
        <w:rPr>
          <w:rFonts w:ascii="Verdana" w:hAnsi="Verdana" w:cs="Verdana"/>
          <w:sz w:val="26"/>
          <w:szCs w:val="26"/>
        </w:rPr>
        <w:t>Zwingli</w:t>
      </w:r>
      <w:proofErr w:type="spellEnd"/>
      <w:r>
        <w:rPr>
          <w:rFonts w:ascii="Verdana" w:hAnsi="Verdana" w:cs="Verdana"/>
          <w:sz w:val="26"/>
          <w:szCs w:val="26"/>
        </w:rPr>
        <w:t xml:space="preserve"> il sacramento è il mezzo con cui una persona dimostra alla </w:t>
      </w:r>
      <w:proofErr w:type="gramStart"/>
      <w:r>
        <w:rPr>
          <w:rFonts w:ascii="Verdana" w:hAnsi="Verdana" w:cs="Verdana"/>
          <w:sz w:val="26"/>
          <w:szCs w:val="26"/>
        </w:rPr>
        <w:t>chiesa</w:t>
      </w:r>
      <w:proofErr w:type="gramEnd"/>
      <w:r>
        <w:rPr>
          <w:rFonts w:ascii="Verdana" w:hAnsi="Verdana" w:cs="Verdana"/>
          <w:sz w:val="26"/>
          <w:szCs w:val="26"/>
        </w:rPr>
        <w:t xml:space="preserve"> di voler essere, o di essere ormai, un soldato di Cristo.  Mentre la predicazione della Parola di Dio è l’elemento fondamentale, i sacramenti sono come il sigillo su una lettera: si limitano a confermarne il contenuto.</w:t>
      </w:r>
    </w:p>
    <w:p w14:paraId="6D3B015A" w14:textId="77777777" w:rsidR="00475427" w:rsidRDefault="00267888" w:rsidP="00BA7269">
      <w:pPr>
        <w:spacing w:line="360" w:lineRule="auto"/>
        <w:jc w:val="both"/>
        <w:rPr>
          <w:rFonts w:ascii="Verdana" w:hAnsi="Verdana" w:cs="Verdana"/>
          <w:sz w:val="26"/>
          <w:szCs w:val="26"/>
        </w:rPr>
      </w:pPr>
      <w:r>
        <w:rPr>
          <w:rFonts w:ascii="Verdana" w:hAnsi="Verdana" w:cs="Verdana"/>
          <w:sz w:val="26"/>
          <w:szCs w:val="26"/>
        </w:rPr>
        <w:t>Il cristiano commemora l’evento storico che diede origine alla chiesa cristiana (ossia la morte di Gesù Cristo) come segno del suo impegno verso la chiesa. L’eucaristia è dunque un memoriale dell’evento storico che ha determinato il sorgere della chiesa cristiana e una pubblica dimostrazione della fedeltà del credente alla chiesa e ai suoi membri.</w:t>
      </w:r>
      <w:proofErr w:type="gramStart"/>
      <w:r>
        <w:rPr>
          <w:rFonts w:ascii="Verdana" w:hAnsi="Verdana" w:cs="Verdana"/>
          <w:sz w:val="26"/>
          <w:szCs w:val="26"/>
        </w:rPr>
        <w:t>  </w:t>
      </w:r>
      <w:proofErr w:type="spellStart"/>
      <w:r>
        <w:rPr>
          <w:rFonts w:ascii="Verdana" w:hAnsi="Verdana" w:cs="Verdana"/>
          <w:sz w:val="26"/>
          <w:szCs w:val="26"/>
        </w:rPr>
        <w:t>Zwingli</w:t>
      </w:r>
      <w:proofErr w:type="spellEnd"/>
      <w:proofErr w:type="gramEnd"/>
      <w:r>
        <w:rPr>
          <w:rFonts w:ascii="Verdana" w:hAnsi="Verdana" w:cs="Verdana"/>
          <w:sz w:val="26"/>
          <w:szCs w:val="26"/>
        </w:rPr>
        <w:t xml:space="preserve"> spiegò l’espressione di Gesù: “Questo è il mio corpo” (Matteo 26:26), dicendo che queste parole furono pronunciate da Cristo per indicare in che modo voleva essere ricordato dalla sua chiesa. E’ come se Cristo avesse detto: “Vi affido un simbolo di questa mia rinuncia che è il mio testamento, per ravvivare in voi il ricordo di me, di modo che, quando vedrete questo pane e questo calice offerti pubblicamente in questa cena commemorativa, vi ricorderete di come sono stato dato per voi, come </w:t>
      </w:r>
      <w:proofErr w:type="gramStart"/>
      <w:r>
        <w:rPr>
          <w:rFonts w:ascii="Verdana" w:hAnsi="Verdana" w:cs="Verdana"/>
          <w:sz w:val="26"/>
          <w:szCs w:val="26"/>
        </w:rPr>
        <w:t>se</w:t>
      </w:r>
      <w:proofErr w:type="gramEnd"/>
      <w:r>
        <w:rPr>
          <w:rFonts w:ascii="Verdana" w:hAnsi="Verdana" w:cs="Verdana"/>
          <w:sz w:val="26"/>
          <w:szCs w:val="26"/>
        </w:rPr>
        <w:t xml:space="preserve"> allora mi vedeste davanti a voi come mi vedete ora, mentre mangio con voi”.  Per </w:t>
      </w:r>
      <w:proofErr w:type="spellStart"/>
      <w:r>
        <w:rPr>
          <w:rFonts w:ascii="Verdana" w:hAnsi="Verdana" w:cs="Verdana"/>
          <w:sz w:val="26"/>
          <w:szCs w:val="26"/>
        </w:rPr>
        <w:t>Zwingli</w:t>
      </w:r>
      <w:proofErr w:type="spellEnd"/>
      <w:r>
        <w:rPr>
          <w:rFonts w:ascii="Verdana" w:hAnsi="Verdana" w:cs="Verdana"/>
          <w:sz w:val="26"/>
          <w:szCs w:val="26"/>
        </w:rPr>
        <w:t xml:space="preserve">, l’eucaristia era “un memoriale delle sofferenze di Cristo, non un sacrificio”, e le parole: “Questo è il mio corpo”, non si possono prendere alla lettera, eliminando così il concetto di una ‘presenza reale di Cristo’, teologia sostenuta invece da Lutero. Come un uomo che parte per un lungo viaggio lontano </w:t>
      </w:r>
      <w:proofErr w:type="gramStart"/>
      <w:r>
        <w:rPr>
          <w:rFonts w:ascii="Verdana" w:hAnsi="Verdana" w:cs="Verdana"/>
          <w:sz w:val="26"/>
          <w:szCs w:val="26"/>
        </w:rPr>
        <w:t>da</w:t>
      </w:r>
      <w:proofErr w:type="gramEnd"/>
      <w:r>
        <w:rPr>
          <w:rFonts w:ascii="Verdana" w:hAnsi="Verdana" w:cs="Verdana"/>
          <w:sz w:val="26"/>
          <w:szCs w:val="26"/>
        </w:rPr>
        <w:t xml:space="preserve"> casa può dare a sua moglie il proprio anello perché essa lo ricordi fino al suo ritorno, così Cristo lascia alla sua chiesa un segno affinché essa lo ricordi fino al giorno in cui egli ritornerà in gloria. Questo era per </w:t>
      </w:r>
      <w:proofErr w:type="spellStart"/>
      <w:r>
        <w:rPr>
          <w:rFonts w:ascii="Verdana" w:hAnsi="Verdana" w:cs="Verdana"/>
          <w:sz w:val="26"/>
          <w:szCs w:val="26"/>
        </w:rPr>
        <w:t>Zwingli</w:t>
      </w:r>
      <w:proofErr w:type="spellEnd"/>
      <w:r>
        <w:rPr>
          <w:rFonts w:ascii="Verdana" w:hAnsi="Verdana" w:cs="Verdana"/>
          <w:sz w:val="26"/>
          <w:szCs w:val="26"/>
        </w:rPr>
        <w:t xml:space="preserve"> il significato che </w:t>
      </w:r>
      <w:proofErr w:type="gramStart"/>
      <w:r>
        <w:rPr>
          <w:rFonts w:ascii="Verdana" w:hAnsi="Verdana" w:cs="Verdana"/>
          <w:sz w:val="26"/>
          <w:szCs w:val="26"/>
        </w:rPr>
        <w:t>assumevano</w:t>
      </w:r>
      <w:proofErr w:type="gramEnd"/>
      <w:r>
        <w:rPr>
          <w:rFonts w:ascii="Verdana" w:hAnsi="Verdana" w:cs="Verdana"/>
          <w:sz w:val="26"/>
          <w:szCs w:val="26"/>
        </w:rPr>
        <w:t xml:space="preserve"> il pane e il vino usati da Gesù nell’ultima Cena.  </w:t>
      </w:r>
    </w:p>
    <w:p w14:paraId="0BAFDCF9" w14:textId="77777777" w:rsidR="00BA7269" w:rsidRDefault="00BA7269" w:rsidP="00BA7269">
      <w:pPr>
        <w:spacing w:line="360" w:lineRule="auto"/>
        <w:jc w:val="both"/>
        <w:rPr>
          <w:rFonts w:ascii="Verdana" w:hAnsi="Verdana" w:cs="Verdana"/>
        </w:rPr>
      </w:pPr>
    </w:p>
    <w:p w14:paraId="74BCF8EC" w14:textId="77777777" w:rsidR="00267888" w:rsidRPr="00267888" w:rsidRDefault="00267888" w:rsidP="00BA7269">
      <w:pPr>
        <w:spacing w:line="360" w:lineRule="auto"/>
        <w:jc w:val="both"/>
        <w:rPr>
          <w:rFonts w:ascii="Verdana" w:hAnsi="Verdana" w:cs="Verdana"/>
        </w:rPr>
      </w:pPr>
      <w:r w:rsidRPr="00267888">
        <w:rPr>
          <w:rFonts w:ascii="Verdana" w:hAnsi="Verdana" w:cs="Verdana"/>
        </w:rPr>
        <w:t xml:space="preserve">In </w:t>
      </w:r>
      <w:proofErr w:type="spellStart"/>
      <w:r w:rsidRPr="00BA7269">
        <w:rPr>
          <w:rFonts w:ascii="Verdana" w:hAnsi="Verdana" w:cs="Verdana"/>
          <w:i/>
        </w:rPr>
        <w:t>Instoria</w:t>
      </w:r>
      <w:proofErr w:type="spellEnd"/>
      <w:r w:rsidRPr="00BA7269">
        <w:rPr>
          <w:rFonts w:ascii="Verdana" w:hAnsi="Verdana" w:cs="Verdana"/>
          <w:i/>
        </w:rPr>
        <w:t>. Rivista online di storia e informazione</w:t>
      </w:r>
      <w:r w:rsidRPr="00267888">
        <w:rPr>
          <w:rFonts w:ascii="Verdana" w:hAnsi="Verdana" w:cs="Verdana"/>
        </w:rPr>
        <w:t xml:space="preserve">, n. </w:t>
      </w:r>
      <w:r w:rsidRPr="00267888">
        <w:rPr>
          <w:rFonts w:ascii="Verdana" w:hAnsi="Verdana" w:cs="Verdana"/>
          <w:color w:val="535353"/>
        </w:rPr>
        <w:t xml:space="preserve">11 - </w:t>
      </w:r>
      <w:proofErr w:type="gramStart"/>
      <w:r w:rsidRPr="00267888">
        <w:rPr>
          <w:rFonts w:ascii="Verdana" w:hAnsi="Verdana" w:cs="Verdana"/>
          <w:color w:val="535353"/>
        </w:rPr>
        <w:t>Novembre</w:t>
      </w:r>
      <w:proofErr w:type="gramEnd"/>
      <w:r w:rsidRPr="00267888">
        <w:rPr>
          <w:rFonts w:ascii="Verdana" w:hAnsi="Verdana" w:cs="Verdana"/>
          <w:color w:val="535353"/>
        </w:rPr>
        <w:t xml:space="preserve"> 2008 </w:t>
      </w:r>
      <w:r w:rsidRPr="00267888">
        <w:rPr>
          <w:rFonts w:ascii="Verdana" w:hAnsi="Verdana" w:cs="Verdana"/>
          <w:color w:val="224274"/>
        </w:rPr>
        <w:t>(XLII)</w:t>
      </w:r>
    </w:p>
    <w:p w14:paraId="10A665FB" w14:textId="77777777" w:rsidR="00267888" w:rsidRPr="00267888" w:rsidRDefault="00267888" w:rsidP="00BA7269">
      <w:pPr>
        <w:spacing w:line="360" w:lineRule="auto"/>
        <w:jc w:val="both"/>
        <w:rPr>
          <w:rFonts w:ascii="Verdana" w:hAnsi="Verdana" w:cs="Verdana"/>
        </w:rPr>
      </w:pPr>
      <w:hyperlink r:id="rId5" w:history="1">
        <w:r w:rsidRPr="00267888">
          <w:rPr>
            <w:rStyle w:val="Collegamentoipertestuale"/>
            <w:rFonts w:ascii="Verdana" w:hAnsi="Verdana" w:cs="Verdana"/>
          </w:rPr>
          <w:t>http://www.instoria.it/home/zwingli_lutero.htm</w:t>
        </w:r>
      </w:hyperlink>
      <w:r w:rsidRPr="00267888">
        <w:rPr>
          <w:rFonts w:ascii="Verdana" w:hAnsi="Verdana" w:cs="Verdana"/>
        </w:rPr>
        <w:t xml:space="preserve"> </w:t>
      </w:r>
    </w:p>
    <w:p w14:paraId="5AA3058E" w14:textId="77777777" w:rsidR="00267888" w:rsidRPr="00267888" w:rsidRDefault="00267888" w:rsidP="00BA7269">
      <w:pPr>
        <w:spacing w:line="360" w:lineRule="auto"/>
        <w:jc w:val="both"/>
      </w:pPr>
      <w:r w:rsidRPr="00267888">
        <w:rPr>
          <w:rFonts w:ascii="Verdana" w:hAnsi="Verdana" w:cs="Verdana"/>
        </w:rPr>
        <w:t xml:space="preserve">Sito consultato il 25 marzo </w:t>
      </w:r>
      <w:proofErr w:type="gramStart"/>
      <w:r w:rsidRPr="00267888">
        <w:rPr>
          <w:rFonts w:ascii="Verdana" w:hAnsi="Verdana" w:cs="Verdana"/>
        </w:rPr>
        <w:t>2015-03-25</w:t>
      </w:r>
      <w:proofErr w:type="gramEnd"/>
    </w:p>
    <w:sectPr w:rsidR="00267888" w:rsidRPr="00267888" w:rsidSect="00201EB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88"/>
    <w:rsid w:val="00201EB4"/>
    <w:rsid w:val="00267888"/>
    <w:rsid w:val="00475427"/>
    <w:rsid w:val="00BA726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F21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67888"/>
    <w:rPr>
      <w:color w:val="0000FF" w:themeColor="hyperlink"/>
      <w:u w:val="single"/>
    </w:rPr>
  </w:style>
  <w:style w:type="character" w:styleId="Collegamentovisitato">
    <w:name w:val="FollowedHyperlink"/>
    <w:basedOn w:val="Caratterepredefinitoparagrafo"/>
    <w:uiPriority w:val="99"/>
    <w:semiHidden/>
    <w:unhideWhenUsed/>
    <w:rsid w:val="002678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67888"/>
    <w:rPr>
      <w:color w:val="0000FF" w:themeColor="hyperlink"/>
      <w:u w:val="single"/>
    </w:rPr>
  </w:style>
  <w:style w:type="character" w:styleId="Collegamentovisitato">
    <w:name w:val="FollowedHyperlink"/>
    <w:basedOn w:val="Caratterepredefinitoparagrafo"/>
    <w:uiPriority w:val="99"/>
    <w:semiHidden/>
    <w:unhideWhenUsed/>
    <w:rsid w:val="00267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storia.it/home/zwingli_lutero.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1241</Words>
  <Characters>7077</Characters>
  <Application>Microsoft Macintosh Word</Application>
  <DocSecurity>0</DocSecurity>
  <Lines>58</Lines>
  <Paragraphs>16</Paragraphs>
  <ScaleCrop>false</ScaleCrop>
  <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Bazzano</dc:creator>
  <cp:keywords/>
  <dc:description/>
  <cp:lastModifiedBy>Nicoletta Bazzano</cp:lastModifiedBy>
  <cp:revision>2</cp:revision>
  <dcterms:created xsi:type="dcterms:W3CDTF">2015-03-25T11:30:00Z</dcterms:created>
  <dcterms:modified xsi:type="dcterms:W3CDTF">2015-03-25T11:39:00Z</dcterms:modified>
</cp:coreProperties>
</file>