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133" w:rsidRDefault="00637133" w:rsidP="00637133">
      <w:pPr>
        <w:spacing w:after="0"/>
        <w:jc w:val="both"/>
        <w:rPr>
          <w:rFonts w:ascii="Garamond" w:hAnsi="Garamond"/>
          <w:b/>
          <w:sz w:val="24"/>
          <w:szCs w:val="24"/>
        </w:rPr>
      </w:pPr>
      <w:r>
        <w:rPr>
          <w:rFonts w:ascii="Garamond" w:hAnsi="Garamond"/>
          <w:b/>
          <w:sz w:val="24"/>
          <w:szCs w:val="24"/>
        </w:rPr>
        <w:t>Definizione di “Embargo” e sue applicazioni</w:t>
      </w:r>
    </w:p>
    <w:p w:rsidR="00637133" w:rsidRDefault="00637133" w:rsidP="00637133">
      <w:pPr>
        <w:spacing w:after="0"/>
        <w:jc w:val="both"/>
        <w:rPr>
          <w:rFonts w:ascii="Garamond" w:hAnsi="Garamond"/>
          <w:sz w:val="24"/>
          <w:szCs w:val="24"/>
        </w:rPr>
      </w:pPr>
      <w:r>
        <w:rPr>
          <w:rFonts w:ascii="Garamond" w:hAnsi="Garamond"/>
          <w:sz w:val="24"/>
          <w:szCs w:val="24"/>
        </w:rPr>
        <w:t>(da Tesi di dottorato e diritto d’autore. A cura del Gruppo OA della CRUI)</w:t>
      </w:r>
    </w:p>
    <w:p w:rsidR="00637133" w:rsidRDefault="00637133" w:rsidP="00637133">
      <w:pPr>
        <w:spacing w:after="0"/>
        <w:jc w:val="both"/>
        <w:rPr>
          <w:rFonts w:ascii="Garamond" w:hAnsi="Garamond"/>
          <w:sz w:val="24"/>
          <w:szCs w:val="24"/>
        </w:rPr>
      </w:pPr>
      <w:r>
        <w:rPr>
          <w:rFonts w:ascii="Garamond" w:hAnsi="Garamond"/>
          <w:sz w:val="24"/>
          <w:szCs w:val="24"/>
        </w:rPr>
        <w:t>L’embargo e il periodo di tempo durante il quale la tesi archiviata in un deposito istituzionale risulta secretata ed accessibile solo per la parte dei metadati (il periodo di tempo può variare fra i 6 e i 12 mesi oppure, in casi eccezionali, per un periodo massimo di 3 anni).</w:t>
      </w:r>
    </w:p>
    <w:p w:rsidR="00637133" w:rsidRDefault="00637133" w:rsidP="00637133">
      <w:pPr>
        <w:spacing w:after="0"/>
        <w:jc w:val="both"/>
        <w:rPr>
          <w:rFonts w:ascii="Garamond" w:hAnsi="Garamond"/>
          <w:sz w:val="24"/>
          <w:szCs w:val="24"/>
        </w:rPr>
      </w:pPr>
      <w:r>
        <w:rPr>
          <w:rFonts w:ascii="Garamond" w:hAnsi="Garamond"/>
          <w:sz w:val="24"/>
          <w:szCs w:val="24"/>
        </w:rPr>
        <w:t>Il dottorando ha il diritto di chiedere un periodo di embargo purché la richiesta sia debitamente motivata e giustificata, ovvero l’embargo si applica solo quando:</w:t>
      </w:r>
    </w:p>
    <w:p w:rsidR="00637133" w:rsidRDefault="00637133" w:rsidP="00637133">
      <w:pPr>
        <w:spacing w:after="0"/>
        <w:jc w:val="both"/>
        <w:rPr>
          <w:rFonts w:ascii="Garamond" w:hAnsi="Garamond"/>
          <w:sz w:val="24"/>
          <w:szCs w:val="24"/>
        </w:rPr>
      </w:pPr>
    </w:p>
    <w:p w:rsidR="00637133" w:rsidRDefault="00637133" w:rsidP="00637133">
      <w:pPr>
        <w:spacing w:after="0"/>
        <w:jc w:val="both"/>
        <w:rPr>
          <w:rFonts w:ascii="Garamond" w:hAnsi="Garamond"/>
          <w:b/>
          <w:sz w:val="24"/>
          <w:szCs w:val="24"/>
        </w:rPr>
      </w:pPr>
      <w:r>
        <w:rPr>
          <w:rFonts w:ascii="Garamond" w:hAnsi="Garamond"/>
          <w:b/>
          <w:sz w:val="24"/>
          <w:szCs w:val="24"/>
        </w:rPr>
        <w:t>Tesi in corso di pubblicazione</w:t>
      </w:r>
    </w:p>
    <w:p w:rsidR="00637133" w:rsidRDefault="00637133" w:rsidP="00637133">
      <w:pPr>
        <w:spacing w:after="0"/>
        <w:jc w:val="both"/>
        <w:rPr>
          <w:rFonts w:ascii="Garamond" w:hAnsi="Garamond"/>
          <w:sz w:val="24"/>
          <w:szCs w:val="24"/>
        </w:rPr>
      </w:pPr>
      <w:r>
        <w:rPr>
          <w:rFonts w:ascii="Garamond" w:hAnsi="Garamond"/>
          <w:sz w:val="24"/>
          <w:szCs w:val="24"/>
        </w:rPr>
        <w:t>E’ possibile che un dottorando chieda l’embargo di una tesi perché in corso di pubblicazione presso un editore che non permette l’accesso aperto prima dell’avvenuta pubblicazione. In questo caso, va attentamente considerato se il prodotto editoriale in corso di pubblicazione non sia sostanzialmente diverso dalla tesi da cui deriva. L’articolo che descrive il lavoro di ricerca compiuto durante il dottorato è infatti una produzione editoriale differente dalla tesi e lo stesso può dirsi per un volume che ne rappresenti una significativa rielaborazione. In casi come questi, la pubblicazione della tesi in un archivio ad accesso aperto non dovrebbe condizionare, in alcun modo, la sua pubblicazione presso un editore commerciale.</w:t>
      </w:r>
    </w:p>
    <w:p w:rsidR="00637133" w:rsidRDefault="00637133" w:rsidP="00637133">
      <w:pPr>
        <w:spacing w:after="0"/>
        <w:jc w:val="both"/>
        <w:rPr>
          <w:rFonts w:ascii="Garamond" w:hAnsi="Garamond"/>
          <w:sz w:val="24"/>
          <w:szCs w:val="24"/>
        </w:rPr>
      </w:pPr>
    </w:p>
    <w:p w:rsidR="00637133" w:rsidRDefault="00637133" w:rsidP="00637133">
      <w:pPr>
        <w:spacing w:after="0"/>
        <w:jc w:val="both"/>
        <w:rPr>
          <w:rFonts w:ascii="Garamond" w:hAnsi="Garamond"/>
          <w:b/>
          <w:sz w:val="24"/>
          <w:szCs w:val="24"/>
        </w:rPr>
      </w:pPr>
      <w:r>
        <w:rPr>
          <w:rFonts w:ascii="Garamond" w:hAnsi="Garamond"/>
          <w:b/>
          <w:sz w:val="24"/>
          <w:szCs w:val="24"/>
        </w:rPr>
        <w:t>Tesi previo accordo con terze parti</w:t>
      </w:r>
    </w:p>
    <w:p w:rsidR="00637133" w:rsidRDefault="00637133" w:rsidP="00637133">
      <w:pPr>
        <w:spacing w:after="0"/>
        <w:jc w:val="both"/>
        <w:rPr>
          <w:rFonts w:ascii="Garamond" w:hAnsi="Garamond"/>
          <w:sz w:val="24"/>
          <w:szCs w:val="24"/>
        </w:rPr>
      </w:pPr>
      <w:r>
        <w:rPr>
          <w:rFonts w:ascii="Garamond" w:hAnsi="Garamond"/>
          <w:sz w:val="24"/>
          <w:szCs w:val="24"/>
        </w:rPr>
        <w:t>Se la tesi fa parte di un progetto di ricerca più ampio, per il quale è stato recentemente stipulato un accordo con un ente di ricerca esterno oppure con un ente finanziatore per la pubblicazione e la divulgazione della tesi solo dopo il completamento dell’intero progetto di ricerca, può essere legittimamente richiesto un periodo di embargo.</w:t>
      </w:r>
    </w:p>
    <w:p w:rsidR="00637133" w:rsidRDefault="00637133" w:rsidP="00637133">
      <w:pPr>
        <w:spacing w:after="0"/>
        <w:jc w:val="both"/>
        <w:rPr>
          <w:rFonts w:ascii="Garamond" w:hAnsi="Garamond"/>
          <w:sz w:val="24"/>
          <w:szCs w:val="24"/>
        </w:rPr>
      </w:pPr>
    </w:p>
    <w:p w:rsidR="00637133" w:rsidRDefault="00637133" w:rsidP="00637133">
      <w:pPr>
        <w:spacing w:after="0"/>
        <w:jc w:val="both"/>
        <w:rPr>
          <w:rFonts w:ascii="Garamond" w:hAnsi="Garamond"/>
          <w:b/>
          <w:sz w:val="24"/>
          <w:szCs w:val="24"/>
        </w:rPr>
      </w:pPr>
      <w:r>
        <w:rPr>
          <w:rFonts w:ascii="Garamond" w:hAnsi="Garamond"/>
          <w:b/>
          <w:sz w:val="24"/>
          <w:szCs w:val="24"/>
        </w:rPr>
        <w:t>Motivi di pubblica sicurezza</w:t>
      </w:r>
    </w:p>
    <w:p w:rsidR="00637133" w:rsidRDefault="00637133" w:rsidP="00637133">
      <w:pPr>
        <w:spacing w:after="0"/>
        <w:jc w:val="both"/>
        <w:rPr>
          <w:rFonts w:ascii="Garamond" w:hAnsi="Garamond"/>
          <w:sz w:val="24"/>
          <w:szCs w:val="24"/>
        </w:rPr>
      </w:pPr>
      <w:r>
        <w:rPr>
          <w:rFonts w:ascii="Garamond" w:hAnsi="Garamond"/>
          <w:sz w:val="24"/>
          <w:szCs w:val="24"/>
        </w:rPr>
        <w:t>Può essere richiesto un embargo per motivi di sicurezza, se il contenuto della tesi può in qualche modo mettere a rischio la sicurezza pubblica o nazionale. Inoltre, può essere richiesto un embargo per motivi di rispetto della legge vigente.</w:t>
      </w:r>
    </w:p>
    <w:p w:rsidR="00637133" w:rsidRDefault="00637133" w:rsidP="00637133">
      <w:pPr>
        <w:spacing w:after="0"/>
        <w:jc w:val="both"/>
        <w:rPr>
          <w:rFonts w:ascii="Garamond" w:hAnsi="Garamond"/>
          <w:sz w:val="24"/>
          <w:szCs w:val="24"/>
        </w:rPr>
      </w:pPr>
    </w:p>
    <w:p w:rsidR="00637133" w:rsidRDefault="00637133" w:rsidP="00637133">
      <w:pPr>
        <w:spacing w:after="0"/>
        <w:jc w:val="both"/>
        <w:rPr>
          <w:rFonts w:ascii="Garamond" w:hAnsi="Garamond"/>
          <w:b/>
          <w:sz w:val="24"/>
          <w:szCs w:val="24"/>
        </w:rPr>
      </w:pPr>
      <w:r>
        <w:rPr>
          <w:rFonts w:ascii="Garamond" w:hAnsi="Garamond"/>
          <w:b/>
          <w:sz w:val="24"/>
          <w:szCs w:val="24"/>
        </w:rPr>
        <w:t>Privacy</w:t>
      </w:r>
    </w:p>
    <w:p w:rsidR="00637133" w:rsidRDefault="00637133" w:rsidP="00637133">
      <w:pPr>
        <w:spacing w:after="0"/>
        <w:jc w:val="both"/>
        <w:rPr>
          <w:rFonts w:ascii="Garamond" w:hAnsi="Garamond"/>
          <w:sz w:val="24"/>
          <w:szCs w:val="24"/>
        </w:rPr>
      </w:pPr>
      <w:r>
        <w:rPr>
          <w:rFonts w:ascii="Garamond" w:hAnsi="Garamond"/>
          <w:sz w:val="24"/>
          <w:szCs w:val="24"/>
        </w:rPr>
        <w:t>Se la tesi verte su una persona ancora in vita o deceduta di recente per la quale si teme di violare il diritto alla privacy, può essere richiesto un periodo di embargo.</w:t>
      </w:r>
    </w:p>
    <w:p w:rsidR="00637133" w:rsidRDefault="00637133" w:rsidP="00637133">
      <w:pPr>
        <w:spacing w:after="0"/>
        <w:jc w:val="both"/>
        <w:rPr>
          <w:rFonts w:ascii="Garamond" w:hAnsi="Garamond"/>
          <w:sz w:val="24"/>
          <w:szCs w:val="24"/>
        </w:rPr>
      </w:pPr>
    </w:p>
    <w:p w:rsidR="00637133" w:rsidRDefault="00637133" w:rsidP="00637133">
      <w:pPr>
        <w:spacing w:after="0"/>
        <w:jc w:val="both"/>
        <w:rPr>
          <w:rFonts w:ascii="Garamond" w:hAnsi="Garamond"/>
          <w:b/>
          <w:sz w:val="24"/>
          <w:szCs w:val="24"/>
        </w:rPr>
      </w:pPr>
      <w:r>
        <w:rPr>
          <w:rFonts w:ascii="Garamond" w:hAnsi="Garamond"/>
          <w:b/>
          <w:sz w:val="24"/>
          <w:szCs w:val="24"/>
        </w:rPr>
        <w:t>Tesi brevettabili</w:t>
      </w:r>
    </w:p>
    <w:p w:rsidR="00637133" w:rsidRDefault="00637133" w:rsidP="00637133">
      <w:pPr>
        <w:spacing w:after="0"/>
        <w:jc w:val="both"/>
        <w:rPr>
          <w:rFonts w:ascii="Garamond" w:hAnsi="Garamond"/>
          <w:sz w:val="24"/>
          <w:szCs w:val="24"/>
        </w:rPr>
      </w:pPr>
      <w:r>
        <w:rPr>
          <w:rFonts w:ascii="Garamond" w:hAnsi="Garamond"/>
          <w:sz w:val="24"/>
          <w:szCs w:val="24"/>
        </w:rPr>
        <w:t>Brevetti e diritto d’autore sono due mondi distinti e paralleli.</w:t>
      </w:r>
    </w:p>
    <w:p w:rsidR="00637133" w:rsidRDefault="00637133" w:rsidP="00637133">
      <w:pPr>
        <w:spacing w:after="0"/>
        <w:jc w:val="both"/>
        <w:rPr>
          <w:rFonts w:ascii="Garamond" w:hAnsi="Garamond"/>
          <w:sz w:val="24"/>
          <w:szCs w:val="24"/>
        </w:rPr>
      </w:pPr>
      <w:r>
        <w:rPr>
          <w:rFonts w:ascii="Garamond" w:hAnsi="Garamond"/>
          <w:sz w:val="24"/>
          <w:szCs w:val="24"/>
        </w:rPr>
        <w:t xml:space="preserve">Il brevetto tutela l’idea e richiede un carattere di innovazione della ricerca tale da comportare non tanto un miglioramento dello stato dell’arte e della tecnica, quanto piuttosto un reale approccio nuovo alla risoluzione di un problema. In sintesi, una ricerca può rientrare nella sfera della brevettabilità solo se e in grado di offrire nuove soluzioni che possano essere trasferite a livello tecnologico (trasferimento tecnologico) a beneficio della collettività (sviluppo industriale). Sono poche le tesi che rientrano in questo ambito di brevettabilità. In ogni caso, si sottolinea che anche la sola discussione, a porte chiuse, rende i contenuti della tesi non più brevettabili perché resi pubblici (alcuni regolamenti di ateneo avvertono esplicitamente chi abbia intenzione di avviare una procedura di brevetto che la discussione della tesi e da considerarsi una </w:t>
      </w:r>
      <w:proofErr w:type="spellStart"/>
      <w:r>
        <w:rPr>
          <w:rFonts w:ascii="Garamond" w:hAnsi="Garamond"/>
          <w:sz w:val="24"/>
          <w:szCs w:val="24"/>
        </w:rPr>
        <w:t>pre</w:t>
      </w:r>
      <w:proofErr w:type="spellEnd"/>
      <w:r>
        <w:rPr>
          <w:rFonts w:ascii="Garamond" w:hAnsi="Garamond"/>
          <w:sz w:val="24"/>
          <w:szCs w:val="24"/>
        </w:rPr>
        <w:t>-divulgazione).</w:t>
      </w:r>
    </w:p>
    <w:p w:rsidR="00637133" w:rsidRDefault="00637133" w:rsidP="00637133">
      <w:pPr>
        <w:spacing w:after="0"/>
        <w:jc w:val="both"/>
        <w:rPr>
          <w:rFonts w:ascii="Garamond" w:hAnsi="Garamond"/>
          <w:sz w:val="24"/>
          <w:szCs w:val="24"/>
        </w:rPr>
      </w:pPr>
      <w:r>
        <w:rPr>
          <w:rFonts w:ascii="Garamond" w:hAnsi="Garamond"/>
          <w:sz w:val="24"/>
          <w:szCs w:val="24"/>
        </w:rPr>
        <w:t xml:space="preserve">Non è quindi il deposito in un archivio ad accesso aperto della versione digitale della tesi di dottorato a impedire la brevettabilità di una ricerca, bensì la sua discussione pubblica. Si ricorda quindi che la </w:t>
      </w:r>
      <w:r>
        <w:rPr>
          <w:rFonts w:ascii="Garamond" w:hAnsi="Garamond"/>
          <w:sz w:val="24"/>
          <w:szCs w:val="24"/>
        </w:rPr>
        <w:lastRenderedPageBreak/>
        <w:t>richiesta di brevetto deve essere obbligatoriamente effettuata prima della discussione della tesi, in quanto la discussione equivale ad una sua pubblicazione. Dopo che è stata depositata la domanda di brevetto è possibile depositare la tesi di dottorato in un archivio aperto. Questo perché le norme nazionali, europee e internazionali che regolano la proprietà intellettuale industriale (brevetti, marchi, modelli di utilità e disegni industriali) prevedono che nulla possa essere pubblicato prima del deposito della domanda di brevetto, ma solo in seguito.</w:t>
      </w:r>
    </w:p>
    <w:p w:rsidR="007F4D2C" w:rsidRDefault="00637133" w:rsidP="00637133">
      <w:bookmarkStart w:id="0" w:name="_GoBack"/>
      <w:bookmarkEnd w:id="0"/>
    </w:p>
    <w:sectPr w:rsidR="007F4D2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133"/>
    <w:rsid w:val="0009009E"/>
    <w:rsid w:val="0063650C"/>
    <w:rsid w:val="0063713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37133"/>
    <w:rPr>
      <w:rFonts w:ascii="Calibri" w:eastAsia="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37133"/>
    <w:rPr>
      <w:rFonts w:ascii="Calibri" w:eastAsia="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92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582</Words>
  <Characters>3320</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antonella.cadoni</dc:creator>
  <cp:lastModifiedBy>antonella.cadoni</cp:lastModifiedBy>
  <cp:revision>1</cp:revision>
  <dcterms:created xsi:type="dcterms:W3CDTF">2017-01-12T15:03:00Z</dcterms:created>
  <dcterms:modified xsi:type="dcterms:W3CDTF">2017-01-12T15:04:00Z</dcterms:modified>
</cp:coreProperties>
</file>