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16F" w:rsidRPr="00F202F2" w:rsidRDefault="00D8716F" w:rsidP="006D7779">
      <w:pPr>
        <w:jc w:val="center"/>
        <w:outlineLvl w:val="0"/>
        <w:rPr>
          <w:rFonts w:asciiTheme="minorHAnsi" w:hAnsiTheme="minorHAnsi"/>
          <w:b/>
          <w:sz w:val="24"/>
          <w:szCs w:val="20"/>
        </w:rPr>
      </w:pPr>
      <w:r w:rsidRPr="00F202F2">
        <w:rPr>
          <w:rFonts w:asciiTheme="minorHAnsi" w:hAnsiTheme="minorHAnsi"/>
          <w:b/>
          <w:sz w:val="24"/>
          <w:szCs w:val="20"/>
        </w:rPr>
        <w:t>NOTA PER LA STAMPA</w:t>
      </w:r>
    </w:p>
    <w:p w:rsidR="00700912" w:rsidRDefault="00D8716F" w:rsidP="00700912">
      <w:pPr>
        <w:jc w:val="center"/>
        <w:outlineLvl w:val="0"/>
        <w:rPr>
          <w:rFonts w:asciiTheme="minorHAnsi" w:hAnsiTheme="minorHAnsi"/>
          <w:b/>
          <w:sz w:val="24"/>
          <w:szCs w:val="20"/>
        </w:rPr>
      </w:pPr>
      <w:r w:rsidRPr="00F202F2">
        <w:rPr>
          <w:rFonts w:asciiTheme="minorHAnsi" w:hAnsiTheme="minorHAnsi"/>
          <w:b/>
          <w:sz w:val="24"/>
          <w:szCs w:val="20"/>
        </w:rPr>
        <w:t xml:space="preserve">Economia della </w:t>
      </w:r>
      <w:r w:rsidR="00700912">
        <w:rPr>
          <w:rFonts w:asciiTheme="minorHAnsi" w:hAnsiTheme="minorHAnsi"/>
          <w:b/>
          <w:sz w:val="24"/>
          <w:szCs w:val="20"/>
        </w:rPr>
        <w:t>Sardegna</w:t>
      </w:r>
      <w:r w:rsidR="00AE5C61">
        <w:rPr>
          <w:rFonts w:asciiTheme="minorHAnsi" w:hAnsiTheme="minorHAnsi"/>
          <w:b/>
          <w:sz w:val="24"/>
          <w:szCs w:val="20"/>
        </w:rPr>
        <w:t xml:space="preserve"> </w:t>
      </w:r>
    </w:p>
    <w:p w:rsidR="000B3D57" w:rsidRPr="00F202F2" w:rsidRDefault="000F2D27" w:rsidP="00295AAB">
      <w:pPr>
        <w:spacing w:after="480"/>
        <w:jc w:val="center"/>
        <w:outlineLvl w:val="0"/>
        <w:rPr>
          <w:rFonts w:asciiTheme="minorHAnsi" w:hAnsiTheme="minorHAnsi"/>
          <w:b/>
          <w:sz w:val="24"/>
          <w:szCs w:val="20"/>
        </w:rPr>
      </w:pPr>
      <w:r>
        <w:rPr>
          <w:rFonts w:asciiTheme="minorHAnsi" w:hAnsiTheme="minorHAnsi"/>
          <w:b/>
          <w:sz w:val="24"/>
          <w:szCs w:val="20"/>
        </w:rPr>
        <w:t>2</w:t>
      </w:r>
      <w:r w:rsidR="00352756">
        <w:rPr>
          <w:rFonts w:asciiTheme="minorHAnsi" w:hAnsiTheme="minorHAnsi"/>
          <w:b/>
          <w:sz w:val="24"/>
          <w:szCs w:val="20"/>
        </w:rPr>
        <w:t>6</w:t>
      </w:r>
      <w:r w:rsidR="00D8716F" w:rsidRPr="00F202F2">
        <w:rPr>
          <w:rFonts w:asciiTheme="minorHAnsi" w:hAnsiTheme="minorHAnsi"/>
          <w:b/>
          <w:sz w:val="24"/>
          <w:szCs w:val="20"/>
        </w:rPr>
        <w:t>° Rapporto 201</w:t>
      </w:r>
      <w:r w:rsidR="00352756">
        <w:rPr>
          <w:rFonts w:asciiTheme="minorHAnsi" w:hAnsiTheme="minorHAnsi"/>
          <w:b/>
          <w:sz w:val="24"/>
          <w:szCs w:val="20"/>
        </w:rPr>
        <w:t>9</w:t>
      </w:r>
    </w:p>
    <w:p w:rsidR="00405E0B" w:rsidRPr="00934B92" w:rsidRDefault="00405E0B" w:rsidP="00405E0B">
      <w:pPr>
        <w:spacing w:before="120" w:after="0"/>
        <w:outlineLvl w:val="0"/>
        <w:rPr>
          <w:rFonts w:asciiTheme="minorHAnsi" w:hAnsiTheme="minorHAnsi"/>
          <w:b/>
          <w:sz w:val="22"/>
          <w:szCs w:val="20"/>
        </w:rPr>
      </w:pPr>
      <w:r w:rsidRPr="00934B92">
        <w:rPr>
          <w:rFonts w:asciiTheme="minorHAnsi" w:hAnsiTheme="minorHAnsi"/>
          <w:b/>
          <w:sz w:val="22"/>
          <w:szCs w:val="20"/>
        </w:rPr>
        <w:t xml:space="preserve">Il </w:t>
      </w:r>
      <w:r>
        <w:rPr>
          <w:rFonts w:asciiTheme="minorHAnsi" w:hAnsiTheme="minorHAnsi"/>
          <w:b/>
          <w:sz w:val="22"/>
          <w:szCs w:val="20"/>
        </w:rPr>
        <w:t>quadro macroeconomico</w:t>
      </w:r>
      <w:r w:rsidR="00774432">
        <w:rPr>
          <w:rFonts w:asciiTheme="minorHAnsi" w:hAnsiTheme="minorHAnsi"/>
          <w:b/>
          <w:sz w:val="22"/>
          <w:szCs w:val="20"/>
        </w:rPr>
        <w:t xml:space="preserve">: </w:t>
      </w:r>
      <w:r w:rsidR="00AE5C61">
        <w:rPr>
          <w:rFonts w:asciiTheme="minorHAnsi" w:hAnsiTheme="minorHAnsi"/>
          <w:b/>
          <w:sz w:val="22"/>
          <w:szCs w:val="20"/>
        </w:rPr>
        <w:t xml:space="preserve">aumenta la distanza con le regioni più </w:t>
      </w:r>
      <w:r w:rsidR="000B3D57">
        <w:rPr>
          <w:rFonts w:asciiTheme="minorHAnsi" w:hAnsiTheme="minorHAnsi"/>
          <w:b/>
          <w:sz w:val="22"/>
          <w:szCs w:val="20"/>
        </w:rPr>
        <w:t xml:space="preserve">dinamiche </w:t>
      </w:r>
      <w:r w:rsidR="00AE5C61">
        <w:rPr>
          <w:rFonts w:asciiTheme="minorHAnsi" w:hAnsiTheme="minorHAnsi"/>
          <w:b/>
          <w:sz w:val="22"/>
          <w:szCs w:val="20"/>
        </w:rPr>
        <w:t>dell'Unione Europea e d'Italia</w:t>
      </w:r>
    </w:p>
    <w:p w:rsidR="00B844F9" w:rsidRPr="00772E85" w:rsidRDefault="0050556D" w:rsidP="00772E85">
      <w:pPr>
        <w:rPr>
          <w:rFonts w:asciiTheme="minorHAnsi" w:hAnsiTheme="minorHAnsi"/>
          <w:sz w:val="22"/>
          <w:szCs w:val="20"/>
        </w:rPr>
      </w:pPr>
      <w:r w:rsidRPr="008C18E4">
        <w:rPr>
          <w:rFonts w:asciiTheme="minorHAnsi" w:hAnsiTheme="minorHAnsi"/>
          <w:sz w:val="22"/>
          <w:szCs w:val="20"/>
        </w:rPr>
        <w:t xml:space="preserve">Nel raffronto con l'Europa, il </w:t>
      </w:r>
      <w:r w:rsidR="008C18E4" w:rsidRPr="008C18E4">
        <w:rPr>
          <w:rFonts w:asciiTheme="minorHAnsi" w:hAnsiTheme="minorHAnsi"/>
          <w:sz w:val="22"/>
          <w:szCs w:val="20"/>
        </w:rPr>
        <w:t>quadro</w:t>
      </w:r>
      <w:r w:rsidRPr="008C18E4">
        <w:rPr>
          <w:rFonts w:asciiTheme="minorHAnsi" w:hAnsiTheme="minorHAnsi"/>
          <w:sz w:val="22"/>
          <w:szCs w:val="20"/>
        </w:rPr>
        <w:t xml:space="preserve"> macroeconomico regionale mostra segni </w:t>
      </w:r>
      <w:r w:rsidR="00875DF1">
        <w:rPr>
          <w:rFonts w:asciiTheme="minorHAnsi" w:hAnsiTheme="minorHAnsi"/>
          <w:sz w:val="22"/>
          <w:szCs w:val="20"/>
        </w:rPr>
        <w:t>di</w:t>
      </w:r>
      <w:r w:rsidRPr="008C18E4">
        <w:rPr>
          <w:rFonts w:asciiTheme="minorHAnsi" w:hAnsiTheme="minorHAnsi"/>
          <w:sz w:val="22"/>
          <w:szCs w:val="20"/>
        </w:rPr>
        <w:t xml:space="preserve"> debolezza: </w:t>
      </w:r>
      <w:r w:rsidR="004436C5" w:rsidRPr="008C18E4">
        <w:rPr>
          <w:rFonts w:asciiTheme="minorHAnsi" w:hAnsiTheme="minorHAnsi"/>
          <w:sz w:val="22"/>
          <w:szCs w:val="20"/>
        </w:rPr>
        <w:t>nel 2017</w:t>
      </w:r>
      <w:r w:rsidR="00CF6037">
        <w:rPr>
          <w:rFonts w:asciiTheme="minorHAnsi" w:hAnsiTheme="minorHAnsi"/>
          <w:sz w:val="22"/>
          <w:szCs w:val="20"/>
        </w:rPr>
        <w:t>, ultimo</w:t>
      </w:r>
      <w:r w:rsidR="00CF6037">
        <w:rPr>
          <w:rFonts w:asciiTheme="minorHAnsi" w:hAnsiTheme="minorHAnsi"/>
          <w:sz w:val="22"/>
          <w:szCs w:val="20"/>
        </w:rPr>
        <w:t xml:space="preserve"> </w:t>
      </w:r>
      <w:r w:rsidR="00CF6037">
        <w:rPr>
          <w:rFonts w:asciiTheme="minorHAnsi" w:hAnsiTheme="minorHAnsi"/>
          <w:sz w:val="22"/>
          <w:szCs w:val="20"/>
        </w:rPr>
        <w:t xml:space="preserve">anno per il quale sono disponibili i dati a livello regionale, </w:t>
      </w:r>
      <w:r w:rsidRPr="008C18E4">
        <w:rPr>
          <w:rFonts w:asciiTheme="minorHAnsi" w:hAnsiTheme="minorHAnsi"/>
          <w:sz w:val="22"/>
          <w:szCs w:val="20"/>
        </w:rPr>
        <w:t>la Sardegna occupa la 214esima posizione nella cla</w:t>
      </w:r>
      <w:r w:rsidRPr="008C18E4">
        <w:rPr>
          <w:rFonts w:asciiTheme="minorHAnsi" w:hAnsiTheme="minorHAnsi"/>
          <w:sz w:val="22"/>
          <w:szCs w:val="20"/>
        </w:rPr>
        <w:t>s</w:t>
      </w:r>
      <w:r w:rsidRPr="008C18E4">
        <w:rPr>
          <w:rFonts w:asciiTheme="minorHAnsi" w:hAnsiTheme="minorHAnsi"/>
          <w:sz w:val="22"/>
          <w:szCs w:val="20"/>
        </w:rPr>
        <w:t>sifica</w:t>
      </w:r>
      <w:r w:rsidR="004436C5" w:rsidRPr="008C18E4">
        <w:rPr>
          <w:rFonts w:asciiTheme="minorHAnsi" w:hAnsiTheme="minorHAnsi"/>
          <w:sz w:val="22"/>
          <w:szCs w:val="20"/>
        </w:rPr>
        <w:t xml:space="preserve"> </w:t>
      </w:r>
      <w:r w:rsidRPr="008C18E4">
        <w:rPr>
          <w:rFonts w:asciiTheme="minorHAnsi" w:hAnsiTheme="minorHAnsi"/>
          <w:sz w:val="22"/>
          <w:szCs w:val="20"/>
        </w:rPr>
        <w:t>delle 281 regioni dell'Unione</w:t>
      </w:r>
      <w:r w:rsidR="000B3D57">
        <w:rPr>
          <w:rFonts w:asciiTheme="minorHAnsi" w:hAnsiTheme="minorHAnsi"/>
          <w:sz w:val="22"/>
          <w:szCs w:val="20"/>
        </w:rPr>
        <w:t xml:space="preserve"> Europea</w:t>
      </w:r>
      <w:r w:rsidR="00E77398">
        <w:rPr>
          <w:rFonts w:asciiTheme="minorHAnsi" w:hAnsiTheme="minorHAnsi"/>
          <w:sz w:val="22"/>
          <w:szCs w:val="20"/>
        </w:rPr>
        <w:t xml:space="preserve"> (UE)</w:t>
      </w:r>
      <w:r w:rsidR="006346E5" w:rsidRPr="008C18E4">
        <w:rPr>
          <w:rFonts w:asciiTheme="minorHAnsi" w:hAnsiTheme="minorHAnsi"/>
          <w:sz w:val="22"/>
          <w:szCs w:val="20"/>
        </w:rPr>
        <w:t xml:space="preserve">, con un </w:t>
      </w:r>
      <w:r w:rsidRPr="008C18E4">
        <w:rPr>
          <w:rFonts w:asciiTheme="minorHAnsi" w:hAnsiTheme="minorHAnsi"/>
          <w:sz w:val="22"/>
          <w:szCs w:val="20"/>
        </w:rPr>
        <w:t>PIL per abitante pari al 69% della me</w:t>
      </w:r>
      <w:r w:rsidR="004436C5" w:rsidRPr="008C18E4">
        <w:rPr>
          <w:rFonts w:asciiTheme="minorHAnsi" w:hAnsiTheme="minorHAnsi"/>
          <w:sz w:val="22"/>
          <w:szCs w:val="20"/>
        </w:rPr>
        <w:t>dia</w:t>
      </w:r>
      <w:r w:rsidR="008C18E4">
        <w:rPr>
          <w:rFonts w:asciiTheme="minorHAnsi" w:hAnsiTheme="minorHAnsi"/>
          <w:sz w:val="22"/>
          <w:szCs w:val="20"/>
        </w:rPr>
        <w:t xml:space="preserve"> europea</w:t>
      </w:r>
      <w:r w:rsidR="00724DB3">
        <w:rPr>
          <w:rFonts w:asciiTheme="minorHAnsi" w:hAnsiTheme="minorHAnsi"/>
          <w:sz w:val="22"/>
          <w:szCs w:val="20"/>
        </w:rPr>
        <w:t xml:space="preserve"> (media italiana: 96%)</w:t>
      </w:r>
      <w:r w:rsidR="008C18E4">
        <w:rPr>
          <w:rFonts w:asciiTheme="minorHAnsi" w:hAnsiTheme="minorHAnsi"/>
          <w:sz w:val="22"/>
          <w:szCs w:val="20"/>
        </w:rPr>
        <w:t>.</w:t>
      </w:r>
      <w:r w:rsidR="006346E5" w:rsidRPr="008C18E4">
        <w:rPr>
          <w:rFonts w:asciiTheme="minorHAnsi" w:hAnsiTheme="minorHAnsi"/>
          <w:sz w:val="22"/>
          <w:szCs w:val="20"/>
        </w:rPr>
        <w:t xml:space="preserve"> </w:t>
      </w:r>
      <w:r w:rsidR="00C10B04">
        <w:rPr>
          <w:rFonts w:asciiTheme="minorHAnsi" w:hAnsiTheme="minorHAnsi"/>
          <w:sz w:val="22"/>
          <w:szCs w:val="20"/>
        </w:rPr>
        <w:t xml:space="preserve">Il sistema economico regionale </w:t>
      </w:r>
      <w:r w:rsidR="004436C5" w:rsidRPr="008C18E4">
        <w:rPr>
          <w:rFonts w:asciiTheme="minorHAnsi" w:hAnsiTheme="minorHAnsi"/>
          <w:sz w:val="22"/>
          <w:szCs w:val="20"/>
        </w:rPr>
        <w:t>non è capace di stare al passo con la crescita del</w:t>
      </w:r>
      <w:r w:rsidR="008C18E4">
        <w:rPr>
          <w:rFonts w:asciiTheme="minorHAnsi" w:hAnsiTheme="minorHAnsi"/>
          <w:sz w:val="22"/>
          <w:szCs w:val="20"/>
        </w:rPr>
        <w:t>l</w:t>
      </w:r>
      <w:r w:rsidR="004436C5" w:rsidRPr="008C18E4">
        <w:rPr>
          <w:rFonts w:asciiTheme="minorHAnsi" w:hAnsiTheme="minorHAnsi"/>
          <w:sz w:val="22"/>
          <w:szCs w:val="20"/>
        </w:rPr>
        <w:t>'Eur</w:t>
      </w:r>
      <w:r w:rsidR="004436C5" w:rsidRPr="008C18E4">
        <w:rPr>
          <w:rFonts w:asciiTheme="minorHAnsi" w:hAnsiTheme="minorHAnsi"/>
          <w:sz w:val="22"/>
          <w:szCs w:val="20"/>
        </w:rPr>
        <w:t>o</w:t>
      </w:r>
      <w:r w:rsidR="004436C5" w:rsidRPr="008C18E4">
        <w:rPr>
          <w:rFonts w:asciiTheme="minorHAnsi" w:hAnsiTheme="minorHAnsi"/>
          <w:sz w:val="22"/>
          <w:szCs w:val="20"/>
        </w:rPr>
        <w:t>pa</w:t>
      </w:r>
      <w:r w:rsidR="008C18E4">
        <w:rPr>
          <w:rFonts w:asciiTheme="minorHAnsi" w:hAnsiTheme="minorHAnsi"/>
          <w:sz w:val="22"/>
          <w:szCs w:val="20"/>
        </w:rPr>
        <w:t>:</w:t>
      </w:r>
      <w:r w:rsidR="004436C5" w:rsidRPr="008C18E4">
        <w:rPr>
          <w:rFonts w:asciiTheme="minorHAnsi" w:hAnsiTheme="minorHAnsi"/>
          <w:sz w:val="22"/>
          <w:szCs w:val="20"/>
        </w:rPr>
        <w:t xml:space="preserve"> </w:t>
      </w:r>
      <w:r w:rsidR="008C18E4" w:rsidRPr="008C18E4">
        <w:rPr>
          <w:rFonts w:asciiTheme="minorHAnsi" w:hAnsiTheme="minorHAnsi"/>
          <w:sz w:val="22"/>
          <w:szCs w:val="20"/>
        </w:rPr>
        <w:t xml:space="preserve">in un quinquennio </w:t>
      </w:r>
      <w:r w:rsidR="004436C5" w:rsidRPr="008C18E4">
        <w:rPr>
          <w:rFonts w:asciiTheme="minorHAnsi" w:hAnsiTheme="minorHAnsi"/>
          <w:sz w:val="22"/>
          <w:szCs w:val="20"/>
        </w:rPr>
        <w:t xml:space="preserve">perde 4 punti percentuali e si allontana dalle regioni più </w:t>
      </w:r>
      <w:r w:rsidR="000B3D57">
        <w:rPr>
          <w:rFonts w:asciiTheme="minorHAnsi" w:hAnsiTheme="minorHAnsi"/>
          <w:sz w:val="22"/>
          <w:szCs w:val="20"/>
        </w:rPr>
        <w:t>dinamiche</w:t>
      </w:r>
      <w:r w:rsidR="000B3D57" w:rsidRPr="008C18E4">
        <w:rPr>
          <w:rFonts w:asciiTheme="minorHAnsi" w:hAnsiTheme="minorHAnsi"/>
          <w:sz w:val="22"/>
          <w:szCs w:val="20"/>
        </w:rPr>
        <w:t xml:space="preserve"> </w:t>
      </w:r>
      <w:r w:rsidR="004436C5" w:rsidRPr="008C18E4">
        <w:rPr>
          <w:rFonts w:asciiTheme="minorHAnsi" w:hAnsiTheme="minorHAnsi"/>
          <w:sz w:val="22"/>
          <w:szCs w:val="20"/>
        </w:rPr>
        <w:t xml:space="preserve">dal punto di vista economico. </w:t>
      </w:r>
      <w:r w:rsidR="00C10B04" w:rsidRPr="00C10B04">
        <w:rPr>
          <w:rFonts w:asciiTheme="minorHAnsi" w:hAnsiTheme="minorHAnsi"/>
          <w:sz w:val="22"/>
          <w:szCs w:val="20"/>
        </w:rPr>
        <w:t xml:space="preserve">Nel 2017 il PIL </w:t>
      </w:r>
      <w:r w:rsidR="00C10B04">
        <w:rPr>
          <w:rFonts w:asciiTheme="minorHAnsi" w:hAnsiTheme="minorHAnsi"/>
          <w:sz w:val="22"/>
          <w:szCs w:val="20"/>
        </w:rPr>
        <w:t xml:space="preserve">della Sardegna </w:t>
      </w:r>
      <w:r w:rsidR="00C10B04" w:rsidRPr="00C10B04">
        <w:rPr>
          <w:rFonts w:asciiTheme="minorHAnsi" w:hAnsiTheme="minorHAnsi"/>
          <w:sz w:val="22"/>
          <w:szCs w:val="20"/>
        </w:rPr>
        <w:t xml:space="preserve">è pari a 18.937 euro per abitante, </w:t>
      </w:r>
      <w:r w:rsidR="00F40F2E">
        <w:rPr>
          <w:rFonts w:asciiTheme="minorHAnsi" w:hAnsiTheme="minorHAnsi"/>
          <w:sz w:val="22"/>
          <w:szCs w:val="20"/>
        </w:rPr>
        <w:t>più</w:t>
      </w:r>
      <w:r w:rsidR="00C10B04" w:rsidRPr="00C10B04">
        <w:rPr>
          <w:rFonts w:asciiTheme="minorHAnsi" w:hAnsiTheme="minorHAnsi"/>
          <w:sz w:val="22"/>
          <w:szCs w:val="20"/>
        </w:rPr>
        <w:t xml:space="preserve"> </w:t>
      </w:r>
      <w:r w:rsidR="00F40F2E">
        <w:rPr>
          <w:rFonts w:asciiTheme="minorHAnsi" w:hAnsiTheme="minorHAnsi"/>
          <w:sz w:val="22"/>
          <w:szCs w:val="20"/>
        </w:rPr>
        <w:t xml:space="preserve">alto </w:t>
      </w:r>
      <w:r w:rsidR="00C10B04" w:rsidRPr="00C10B04">
        <w:rPr>
          <w:rFonts w:asciiTheme="minorHAnsi" w:hAnsiTheme="minorHAnsi"/>
          <w:sz w:val="22"/>
          <w:szCs w:val="20"/>
        </w:rPr>
        <w:t>rispetto al</w:t>
      </w:r>
      <w:r w:rsidR="00F40F2E">
        <w:rPr>
          <w:rFonts w:asciiTheme="minorHAnsi" w:hAnsiTheme="minorHAnsi"/>
          <w:sz w:val="22"/>
          <w:szCs w:val="20"/>
        </w:rPr>
        <w:t xml:space="preserve"> </w:t>
      </w:r>
      <w:r w:rsidR="00C10B04" w:rsidRPr="00C10B04">
        <w:rPr>
          <w:rFonts w:asciiTheme="minorHAnsi" w:hAnsiTheme="minorHAnsi"/>
          <w:sz w:val="22"/>
          <w:szCs w:val="20"/>
        </w:rPr>
        <w:t xml:space="preserve">Mezzogiorno (17.354 euro) ma </w:t>
      </w:r>
      <w:r w:rsidR="00F40F2E">
        <w:rPr>
          <w:rFonts w:asciiTheme="minorHAnsi" w:hAnsiTheme="minorHAnsi"/>
          <w:sz w:val="22"/>
          <w:szCs w:val="20"/>
        </w:rPr>
        <w:t xml:space="preserve">sempre più </w:t>
      </w:r>
      <w:r w:rsidR="00F40F2E" w:rsidRPr="00C10B04">
        <w:rPr>
          <w:rFonts w:asciiTheme="minorHAnsi" w:hAnsiTheme="minorHAnsi"/>
          <w:sz w:val="22"/>
          <w:szCs w:val="20"/>
        </w:rPr>
        <w:t xml:space="preserve">distante </w:t>
      </w:r>
      <w:r w:rsidR="00C10B04" w:rsidRPr="00C10B04">
        <w:rPr>
          <w:rFonts w:asciiTheme="minorHAnsi" w:hAnsiTheme="minorHAnsi"/>
          <w:sz w:val="22"/>
          <w:szCs w:val="20"/>
        </w:rPr>
        <w:t xml:space="preserve">del Centro-Nord (31.105 euro). </w:t>
      </w:r>
      <w:r w:rsidR="00F40F2E">
        <w:rPr>
          <w:rFonts w:asciiTheme="minorHAnsi" w:hAnsiTheme="minorHAnsi"/>
          <w:sz w:val="22"/>
          <w:szCs w:val="20"/>
        </w:rPr>
        <w:t>I</w:t>
      </w:r>
      <w:r w:rsidR="00C10B04" w:rsidRPr="00C10B04">
        <w:rPr>
          <w:rFonts w:asciiTheme="minorHAnsi" w:hAnsiTheme="minorHAnsi"/>
          <w:sz w:val="22"/>
          <w:szCs w:val="20"/>
        </w:rPr>
        <w:t xml:space="preserve">l dato </w:t>
      </w:r>
      <w:r w:rsidR="00772E85">
        <w:rPr>
          <w:rFonts w:asciiTheme="minorHAnsi" w:hAnsiTheme="minorHAnsi"/>
          <w:sz w:val="22"/>
          <w:szCs w:val="20"/>
        </w:rPr>
        <w:t xml:space="preserve">regionale </w:t>
      </w:r>
      <w:r w:rsidR="00F40F2E">
        <w:rPr>
          <w:rFonts w:asciiTheme="minorHAnsi" w:hAnsiTheme="minorHAnsi"/>
          <w:sz w:val="22"/>
          <w:szCs w:val="20"/>
        </w:rPr>
        <w:t>è in aumento rispetto al</w:t>
      </w:r>
      <w:r w:rsidR="00C10B04" w:rsidRPr="00C10B04">
        <w:rPr>
          <w:rFonts w:asciiTheme="minorHAnsi" w:hAnsiTheme="minorHAnsi"/>
          <w:sz w:val="22"/>
          <w:szCs w:val="20"/>
        </w:rPr>
        <w:t xml:space="preserve"> 2016 (+1,1%) </w:t>
      </w:r>
      <w:r w:rsidR="00724DB3">
        <w:rPr>
          <w:rFonts w:asciiTheme="minorHAnsi" w:hAnsiTheme="minorHAnsi"/>
          <w:sz w:val="22"/>
          <w:szCs w:val="20"/>
        </w:rPr>
        <w:t xml:space="preserve">ma meno rispetto al </w:t>
      </w:r>
      <w:r w:rsidR="00C10B04" w:rsidRPr="00772E85">
        <w:rPr>
          <w:rFonts w:asciiTheme="minorHAnsi" w:hAnsiTheme="minorHAnsi"/>
          <w:sz w:val="22"/>
          <w:szCs w:val="20"/>
        </w:rPr>
        <w:t>Me</w:t>
      </w:r>
      <w:r w:rsidR="00772E85" w:rsidRPr="00772E85">
        <w:rPr>
          <w:rFonts w:asciiTheme="minorHAnsi" w:hAnsiTheme="minorHAnsi"/>
          <w:sz w:val="22"/>
          <w:szCs w:val="20"/>
        </w:rPr>
        <w:t>zzogiorno (+1,4%)</w:t>
      </w:r>
      <w:r w:rsidR="00C10B04" w:rsidRPr="00772E85">
        <w:rPr>
          <w:rFonts w:asciiTheme="minorHAnsi" w:hAnsiTheme="minorHAnsi"/>
          <w:sz w:val="22"/>
          <w:szCs w:val="20"/>
        </w:rPr>
        <w:t xml:space="preserve"> </w:t>
      </w:r>
      <w:r w:rsidR="00772E85" w:rsidRPr="00772E85">
        <w:rPr>
          <w:rFonts w:asciiTheme="minorHAnsi" w:hAnsiTheme="minorHAnsi"/>
          <w:sz w:val="22"/>
          <w:szCs w:val="20"/>
        </w:rPr>
        <w:t>e</w:t>
      </w:r>
      <w:r w:rsidR="00724DB3">
        <w:rPr>
          <w:rFonts w:asciiTheme="minorHAnsi" w:hAnsiTheme="minorHAnsi"/>
          <w:sz w:val="22"/>
          <w:szCs w:val="20"/>
        </w:rPr>
        <w:t xml:space="preserve"> soprattutto del</w:t>
      </w:r>
      <w:r w:rsidR="00C10B04" w:rsidRPr="00772E85">
        <w:rPr>
          <w:rFonts w:asciiTheme="minorHAnsi" w:hAnsiTheme="minorHAnsi"/>
          <w:sz w:val="22"/>
          <w:szCs w:val="20"/>
        </w:rPr>
        <w:t xml:space="preserve"> Centro-Nord (+1,8%). </w:t>
      </w:r>
      <w:r w:rsidR="00772E85" w:rsidRPr="00772E85">
        <w:rPr>
          <w:rFonts w:asciiTheme="minorHAnsi" w:hAnsiTheme="minorHAnsi"/>
          <w:sz w:val="22"/>
          <w:szCs w:val="20"/>
        </w:rPr>
        <w:t>I</w:t>
      </w:r>
      <w:r w:rsidR="0010568C" w:rsidRPr="00772E85">
        <w:rPr>
          <w:rFonts w:asciiTheme="minorHAnsi" w:hAnsiTheme="minorHAnsi"/>
          <w:sz w:val="22"/>
          <w:szCs w:val="20"/>
        </w:rPr>
        <w:t>l</w:t>
      </w:r>
      <w:r w:rsidR="00772E85" w:rsidRPr="00772E85">
        <w:rPr>
          <w:rFonts w:asciiTheme="minorHAnsi" w:hAnsiTheme="minorHAnsi"/>
          <w:sz w:val="22"/>
          <w:szCs w:val="20"/>
        </w:rPr>
        <w:t xml:space="preserve"> </w:t>
      </w:r>
      <w:r w:rsidR="0010568C" w:rsidRPr="00772E85">
        <w:rPr>
          <w:rFonts w:asciiTheme="minorHAnsi" w:hAnsiTheme="minorHAnsi"/>
          <w:sz w:val="22"/>
          <w:szCs w:val="20"/>
        </w:rPr>
        <w:t xml:space="preserve">divario di </w:t>
      </w:r>
      <w:r w:rsidR="00D1208C" w:rsidRPr="00772E85">
        <w:rPr>
          <w:rFonts w:asciiTheme="minorHAnsi" w:hAnsiTheme="minorHAnsi"/>
          <w:sz w:val="22"/>
          <w:szCs w:val="20"/>
        </w:rPr>
        <w:t>reddito</w:t>
      </w:r>
      <w:r w:rsidR="00C25AB0" w:rsidRPr="00772E85">
        <w:rPr>
          <w:rFonts w:asciiTheme="minorHAnsi" w:hAnsiTheme="minorHAnsi"/>
          <w:sz w:val="22"/>
          <w:szCs w:val="20"/>
        </w:rPr>
        <w:t xml:space="preserve"> </w:t>
      </w:r>
      <w:r w:rsidR="001C2B3F" w:rsidRPr="00772E85">
        <w:rPr>
          <w:rFonts w:asciiTheme="minorHAnsi" w:hAnsiTheme="minorHAnsi"/>
          <w:sz w:val="22"/>
          <w:szCs w:val="20"/>
        </w:rPr>
        <w:t xml:space="preserve">tra il Nord e il Sud </w:t>
      </w:r>
      <w:r w:rsidR="00772E85" w:rsidRPr="00772E85">
        <w:rPr>
          <w:rFonts w:asciiTheme="minorHAnsi" w:hAnsiTheme="minorHAnsi"/>
          <w:sz w:val="22"/>
          <w:szCs w:val="20"/>
        </w:rPr>
        <w:t>continua ad approfondirsi</w:t>
      </w:r>
      <w:r w:rsidR="00D1208C" w:rsidRPr="00772E85">
        <w:rPr>
          <w:rFonts w:asciiTheme="minorHAnsi" w:hAnsiTheme="minorHAnsi"/>
          <w:sz w:val="22"/>
          <w:szCs w:val="20"/>
        </w:rPr>
        <w:t xml:space="preserve">. </w:t>
      </w:r>
    </w:p>
    <w:p w:rsidR="00A752FB" w:rsidRPr="007E7321" w:rsidRDefault="00724DB3" w:rsidP="00B844F9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>
        <w:rPr>
          <w:rFonts w:asciiTheme="minorHAnsi" w:hAnsiTheme="minorHAnsi"/>
          <w:sz w:val="22"/>
          <w:szCs w:val="20"/>
        </w:rPr>
        <w:t>Si</w:t>
      </w:r>
      <w:r w:rsidR="0010568C" w:rsidRPr="00772E85">
        <w:rPr>
          <w:rFonts w:asciiTheme="minorHAnsi" w:hAnsiTheme="minorHAnsi"/>
          <w:sz w:val="22"/>
          <w:szCs w:val="20"/>
        </w:rPr>
        <w:t xml:space="preserve"> </w:t>
      </w:r>
      <w:r w:rsidR="00772E85" w:rsidRPr="00772E85">
        <w:rPr>
          <w:rFonts w:asciiTheme="minorHAnsi" w:hAnsiTheme="minorHAnsi"/>
          <w:sz w:val="22"/>
          <w:szCs w:val="20"/>
        </w:rPr>
        <w:t>conferma l'</w:t>
      </w:r>
      <w:r w:rsidR="00D1208C" w:rsidRPr="00772E85">
        <w:rPr>
          <w:rFonts w:asciiTheme="minorHAnsi" w:hAnsiTheme="minorHAnsi"/>
          <w:sz w:val="22"/>
          <w:szCs w:val="20"/>
        </w:rPr>
        <w:t xml:space="preserve">aumento </w:t>
      </w:r>
      <w:r w:rsidR="001C2B3F" w:rsidRPr="00772E85">
        <w:rPr>
          <w:rFonts w:asciiTheme="minorHAnsi" w:hAnsiTheme="minorHAnsi"/>
          <w:sz w:val="22"/>
          <w:szCs w:val="20"/>
        </w:rPr>
        <w:t xml:space="preserve">dei </w:t>
      </w:r>
      <w:r w:rsidR="0010568C" w:rsidRPr="00772E85">
        <w:rPr>
          <w:rFonts w:asciiTheme="minorHAnsi" w:hAnsiTheme="minorHAnsi"/>
          <w:sz w:val="22"/>
          <w:szCs w:val="20"/>
        </w:rPr>
        <w:t>consumi</w:t>
      </w:r>
      <w:r w:rsidR="00B844F9" w:rsidRPr="00772E85">
        <w:rPr>
          <w:rFonts w:asciiTheme="minorHAnsi" w:hAnsiTheme="minorHAnsi"/>
          <w:sz w:val="22"/>
          <w:szCs w:val="20"/>
        </w:rPr>
        <w:t xml:space="preserve"> </w:t>
      </w:r>
      <w:r w:rsidR="00D1208C" w:rsidRPr="00772E85">
        <w:rPr>
          <w:rFonts w:asciiTheme="minorHAnsi" w:hAnsiTheme="minorHAnsi"/>
          <w:sz w:val="22"/>
          <w:szCs w:val="20"/>
        </w:rPr>
        <w:t>delle famiglie</w:t>
      </w:r>
      <w:r w:rsidR="00772E85" w:rsidRPr="00772E85">
        <w:rPr>
          <w:rFonts w:asciiTheme="minorHAnsi" w:hAnsiTheme="minorHAnsi"/>
          <w:sz w:val="22"/>
          <w:szCs w:val="20"/>
        </w:rPr>
        <w:t xml:space="preserve"> iniziato nel 2015</w:t>
      </w:r>
      <w:r w:rsidR="001C2B3F" w:rsidRPr="00772E85">
        <w:rPr>
          <w:rFonts w:asciiTheme="minorHAnsi" w:hAnsiTheme="minorHAnsi"/>
          <w:sz w:val="22"/>
          <w:szCs w:val="20"/>
        </w:rPr>
        <w:t xml:space="preserve">: la spesa per abitante </w:t>
      </w:r>
      <w:r w:rsidR="00772E85" w:rsidRPr="00772E85">
        <w:rPr>
          <w:rFonts w:asciiTheme="minorHAnsi" w:hAnsiTheme="minorHAnsi"/>
          <w:sz w:val="22"/>
          <w:szCs w:val="20"/>
        </w:rPr>
        <w:t xml:space="preserve">nel 2017 è pari 13.407 euro, in crescita del </w:t>
      </w:r>
      <w:r w:rsidR="001C2B3F" w:rsidRPr="00772E85">
        <w:rPr>
          <w:rFonts w:asciiTheme="minorHAnsi" w:hAnsiTheme="minorHAnsi"/>
          <w:sz w:val="22"/>
          <w:szCs w:val="20"/>
        </w:rPr>
        <w:t>1</w:t>
      </w:r>
      <w:r w:rsidR="00772E85" w:rsidRPr="00772E85">
        <w:rPr>
          <w:rFonts w:asciiTheme="minorHAnsi" w:hAnsiTheme="minorHAnsi"/>
          <w:sz w:val="22"/>
          <w:szCs w:val="20"/>
        </w:rPr>
        <w:t>,2</w:t>
      </w:r>
      <w:r w:rsidR="00B844F9" w:rsidRPr="00772E85">
        <w:rPr>
          <w:rFonts w:asciiTheme="minorHAnsi" w:hAnsiTheme="minorHAnsi"/>
          <w:sz w:val="22"/>
          <w:szCs w:val="20"/>
        </w:rPr>
        <w:t>%</w:t>
      </w:r>
      <w:r w:rsidR="00772E85" w:rsidRPr="00772E85">
        <w:rPr>
          <w:rFonts w:asciiTheme="minorHAnsi" w:hAnsiTheme="minorHAnsi"/>
          <w:sz w:val="22"/>
          <w:szCs w:val="20"/>
        </w:rPr>
        <w:t xml:space="preserve"> su base annua</w:t>
      </w:r>
      <w:r w:rsidR="001C2B3F" w:rsidRPr="00772E85">
        <w:rPr>
          <w:rFonts w:asciiTheme="minorHAnsi" w:hAnsiTheme="minorHAnsi"/>
          <w:sz w:val="22"/>
          <w:szCs w:val="20"/>
        </w:rPr>
        <w:t xml:space="preserve">. </w:t>
      </w:r>
      <w:r w:rsidR="007459A6" w:rsidRPr="00772E85">
        <w:rPr>
          <w:rFonts w:asciiTheme="minorHAnsi" w:hAnsiTheme="minorHAnsi"/>
          <w:sz w:val="22"/>
          <w:szCs w:val="20"/>
        </w:rPr>
        <w:t>In aumento l'acquisto di servizi (+</w:t>
      </w:r>
      <w:r w:rsidR="00772E85">
        <w:rPr>
          <w:rFonts w:asciiTheme="minorHAnsi" w:hAnsiTheme="minorHAnsi"/>
          <w:sz w:val="22"/>
          <w:szCs w:val="20"/>
        </w:rPr>
        <w:t>1</w:t>
      </w:r>
      <w:r w:rsidR="007459A6" w:rsidRPr="00772E85">
        <w:rPr>
          <w:rFonts w:asciiTheme="minorHAnsi" w:hAnsiTheme="minorHAnsi"/>
          <w:sz w:val="22"/>
          <w:szCs w:val="20"/>
        </w:rPr>
        <w:t>,</w:t>
      </w:r>
      <w:r w:rsidR="00772E85">
        <w:rPr>
          <w:rFonts w:asciiTheme="minorHAnsi" w:hAnsiTheme="minorHAnsi"/>
          <w:sz w:val="22"/>
          <w:szCs w:val="20"/>
        </w:rPr>
        <w:t>8</w:t>
      </w:r>
      <w:r w:rsidR="007459A6" w:rsidRPr="00772E85">
        <w:rPr>
          <w:rFonts w:asciiTheme="minorHAnsi" w:hAnsiTheme="minorHAnsi"/>
          <w:sz w:val="22"/>
          <w:szCs w:val="20"/>
        </w:rPr>
        <w:t>%), di alimentari, prodo</w:t>
      </w:r>
      <w:r w:rsidR="007459A6" w:rsidRPr="00772E85">
        <w:rPr>
          <w:rFonts w:asciiTheme="minorHAnsi" w:hAnsiTheme="minorHAnsi"/>
          <w:sz w:val="22"/>
          <w:szCs w:val="20"/>
        </w:rPr>
        <w:t>t</w:t>
      </w:r>
      <w:r w:rsidR="007459A6" w:rsidRPr="00772E85">
        <w:rPr>
          <w:rFonts w:asciiTheme="minorHAnsi" w:hAnsiTheme="minorHAnsi"/>
          <w:sz w:val="22"/>
          <w:szCs w:val="20"/>
        </w:rPr>
        <w:t xml:space="preserve">ti per la persona e la casa e medicinali (+1%) </w:t>
      </w:r>
      <w:r w:rsidR="00772E85">
        <w:rPr>
          <w:rFonts w:asciiTheme="minorHAnsi" w:hAnsiTheme="minorHAnsi"/>
          <w:sz w:val="22"/>
          <w:szCs w:val="20"/>
        </w:rPr>
        <w:t xml:space="preserve">ma </w:t>
      </w:r>
      <w:r w:rsidR="007459A6" w:rsidRPr="00772E85">
        <w:rPr>
          <w:rFonts w:asciiTheme="minorHAnsi" w:hAnsiTheme="minorHAnsi"/>
          <w:sz w:val="22"/>
          <w:szCs w:val="20"/>
        </w:rPr>
        <w:t xml:space="preserve">quella per </w:t>
      </w:r>
      <w:r w:rsidR="0010568C" w:rsidRPr="00772E85">
        <w:rPr>
          <w:rFonts w:asciiTheme="minorHAnsi" w:hAnsiTheme="minorHAnsi"/>
          <w:sz w:val="22"/>
          <w:szCs w:val="20"/>
        </w:rPr>
        <w:t xml:space="preserve">i beni </w:t>
      </w:r>
      <w:r w:rsidR="007E7321">
        <w:rPr>
          <w:rFonts w:asciiTheme="minorHAnsi" w:hAnsiTheme="minorHAnsi"/>
          <w:sz w:val="22"/>
          <w:szCs w:val="20"/>
        </w:rPr>
        <w:t xml:space="preserve">con utilizzo pluriennale </w:t>
      </w:r>
      <w:r w:rsidR="007459A6" w:rsidRPr="00772E85">
        <w:rPr>
          <w:rFonts w:asciiTheme="minorHAnsi" w:hAnsiTheme="minorHAnsi"/>
          <w:sz w:val="22"/>
          <w:szCs w:val="20"/>
        </w:rPr>
        <w:t xml:space="preserve"> (arredamento, aut</w:t>
      </w:r>
      <w:r w:rsidR="007459A6" w:rsidRPr="007E7321">
        <w:rPr>
          <w:rFonts w:asciiTheme="minorHAnsi" w:hAnsiTheme="minorHAnsi"/>
          <w:sz w:val="22"/>
          <w:szCs w:val="20"/>
        </w:rPr>
        <w:t>o</w:t>
      </w:r>
      <w:r w:rsidR="007459A6" w:rsidRPr="007E7321">
        <w:rPr>
          <w:rFonts w:asciiTheme="minorHAnsi" w:hAnsiTheme="minorHAnsi"/>
          <w:sz w:val="22"/>
          <w:szCs w:val="20"/>
        </w:rPr>
        <w:t xml:space="preserve">vetture, elettrodomestici, abbigliamento, libri) </w:t>
      </w:r>
      <w:r w:rsidR="00772E85" w:rsidRPr="007E7321">
        <w:rPr>
          <w:rFonts w:asciiTheme="minorHAnsi" w:hAnsiTheme="minorHAnsi"/>
          <w:sz w:val="22"/>
          <w:szCs w:val="20"/>
        </w:rPr>
        <w:t xml:space="preserve">è pressoché stabile (-0,2%) </w:t>
      </w:r>
      <w:r w:rsidR="007459A6" w:rsidRPr="007E7321">
        <w:rPr>
          <w:rFonts w:asciiTheme="minorHAnsi" w:hAnsiTheme="minorHAnsi"/>
          <w:sz w:val="22"/>
          <w:szCs w:val="20"/>
        </w:rPr>
        <w:t>rispetto al 201</w:t>
      </w:r>
      <w:r w:rsidR="00772E85" w:rsidRPr="007E7321">
        <w:rPr>
          <w:rFonts w:asciiTheme="minorHAnsi" w:hAnsiTheme="minorHAnsi"/>
          <w:sz w:val="22"/>
          <w:szCs w:val="20"/>
        </w:rPr>
        <w:t>6</w:t>
      </w:r>
      <w:r w:rsidR="007459A6" w:rsidRPr="007E7321">
        <w:rPr>
          <w:rFonts w:asciiTheme="minorHAnsi" w:hAnsiTheme="minorHAnsi"/>
          <w:sz w:val="22"/>
          <w:szCs w:val="20"/>
        </w:rPr>
        <w:t xml:space="preserve">. Soprattutto questa terza componente, che è la più compressa nelle fasi di crisi economica, </w:t>
      </w:r>
      <w:r w:rsidR="0010568C" w:rsidRPr="007E7321">
        <w:rPr>
          <w:rFonts w:asciiTheme="minorHAnsi" w:hAnsiTheme="minorHAnsi"/>
          <w:sz w:val="22"/>
          <w:szCs w:val="20"/>
        </w:rPr>
        <w:t>segna</w:t>
      </w:r>
      <w:r w:rsidR="007459A6" w:rsidRPr="007E7321">
        <w:rPr>
          <w:rFonts w:asciiTheme="minorHAnsi" w:hAnsiTheme="minorHAnsi"/>
          <w:sz w:val="22"/>
          <w:szCs w:val="20"/>
        </w:rPr>
        <w:t>la</w:t>
      </w:r>
      <w:r w:rsidR="0010568C" w:rsidRPr="007E7321">
        <w:rPr>
          <w:rFonts w:asciiTheme="minorHAnsi" w:hAnsiTheme="minorHAnsi"/>
          <w:sz w:val="22"/>
          <w:szCs w:val="20"/>
        </w:rPr>
        <w:t xml:space="preserve"> un</w:t>
      </w:r>
      <w:r w:rsidR="007459A6" w:rsidRPr="007E7321">
        <w:rPr>
          <w:rFonts w:asciiTheme="minorHAnsi" w:hAnsiTheme="minorHAnsi"/>
          <w:sz w:val="22"/>
          <w:szCs w:val="20"/>
        </w:rPr>
        <w:t xml:space="preserve">a disponibilità di reddito per </w:t>
      </w:r>
      <w:r w:rsidR="0010568C" w:rsidRPr="007E7321">
        <w:rPr>
          <w:rFonts w:asciiTheme="minorHAnsi" w:hAnsiTheme="minorHAnsi"/>
          <w:sz w:val="22"/>
          <w:szCs w:val="20"/>
        </w:rPr>
        <w:t xml:space="preserve">i consumatori </w:t>
      </w:r>
      <w:r w:rsidR="00C25AB0" w:rsidRPr="007E7321">
        <w:rPr>
          <w:rFonts w:asciiTheme="minorHAnsi" w:hAnsiTheme="minorHAnsi"/>
          <w:sz w:val="22"/>
          <w:szCs w:val="20"/>
        </w:rPr>
        <w:t xml:space="preserve">e </w:t>
      </w:r>
      <w:r w:rsidR="007459A6" w:rsidRPr="007E7321">
        <w:rPr>
          <w:rFonts w:asciiTheme="minorHAnsi" w:hAnsiTheme="minorHAnsi"/>
          <w:sz w:val="22"/>
          <w:szCs w:val="20"/>
        </w:rPr>
        <w:t xml:space="preserve">le </w:t>
      </w:r>
      <w:r w:rsidR="0010568C" w:rsidRPr="007E7321">
        <w:rPr>
          <w:rFonts w:asciiTheme="minorHAnsi" w:hAnsiTheme="minorHAnsi"/>
          <w:sz w:val="22"/>
          <w:szCs w:val="20"/>
        </w:rPr>
        <w:t>famiglie</w:t>
      </w:r>
      <w:r w:rsidR="00772E85" w:rsidRPr="007E7321">
        <w:rPr>
          <w:rFonts w:asciiTheme="minorHAnsi" w:hAnsiTheme="minorHAnsi"/>
          <w:sz w:val="22"/>
          <w:szCs w:val="20"/>
        </w:rPr>
        <w:t xml:space="preserve"> che non accenna ad aumentare</w:t>
      </w:r>
      <w:r w:rsidR="0010568C" w:rsidRPr="007E7321">
        <w:rPr>
          <w:rFonts w:asciiTheme="minorHAnsi" w:hAnsiTheme="minorHAnsi"/>
          <w:sz w:val="22"/>
          <w:szCs w:val="20"/>
        </w:rPr>
        <w:t xml:space="preserve">. </w:t>
      </w:r>
    </w:p>
    <w:p w:rsidR="00377C80" w:rsidRPr="007E7321" w:rsidRDefault="00377C80" w:rsidP="00B844F9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 w:rsidRPr="007E7321">
        <w:rPr>
          <w:rFonts w:asciiTheme="minorHAnsi" w:hAnsiTheme="minorHAnsi"/>
          <w:sz w:val="22"/>
          <w:szCs w:val="20"/>
        </w:rPr>
        <w:t>Il dato sugli inve</w:t>
      </w:r>
      <w:r w:rsidR="00442DCF">
        <w:rPr>
          <w:rFonts w:asciiTheme="minorHAnsi" w:hAnsiTheme="minorHAnsi"/>
          <w:sz w:val="22"/>
          <w:szCs w:val="20"/>
        </w:rPr>
        <w:t xml:space="preserve">stimenti </w:t>
      </w:r>
      <w:r w:rsidRPr="007E7321">
        <w:rPr>
          <w:rFonts w:asciiTheme="minorHAnsi" w:hAnsiTheme="minorHAnsi"/>
          <w:sz w:val="22"/>
          <w:szCs w:val="20"/>
        </w:rPr>
        <w:t>riflette ancora una fase di crisi</w:t>
      </w:r>
      <w:r w:rsidR="00772E85" w:rsidRPr="007E7321">
        <w:rPr>
          <w:rFonts w:asciiTheme="minorHAnsi" w:hAnsiTheme="minorHAnsi"/>
          <w:sz w:val="22"/>
          <w:szCs w:val="20"/>
        </w:rPr>
        <w:t xml:space="preserve"> e di difficoltà per imprese e famiglie</w:t>
      </w:r>
      <w:r w:rsidR="00442DCF">
        <w:rPr>
          <w:rFonts w:asciiTheme="minorHAnsi" w:hAnsiTheme="minorHAnsi"/>
          <w:sz w:val="22"/>
          <w:szCs w:val="20"/>
        </w:rPr>
        <w:t xml:space="preserve"> e </w:t>
      </w:r>
      <w:r w:rsidR="0021731A">
        <w:rPr>
          <w:rFonts w:asciiTheme="minorHAnsi" w:hAnsiTheme="minorHAnsi"/>
          <w:sz w:val="22"/>
          <w:szCs w:val="20"/>
        </w:rPr>
        <w:t xml:space="preserve">continua a </w:t>
      </w:r>
      <w:r w:rsidR="00442DCF">
        <w:rPr>
          <w:rFonts w:asciiTheme="minorHAnsi" w:hAnsiTheme="minorHAnsi"/>
          <w:sz w:val="22"/>
          <w:szCs w:val="20"/>
        </w:rPr>
        <w:t>m</w:t>
      </w:r>
      <w:r w:rsidR="0021731A">
        <w:rPr>
          <w:rFonts w:asciiTheme="minorHAnsi" w:hAnsiTheme="minorHAnsi"/>
          <w:sz w:val="22"/>
          <w:szCs w:val="20"/>
        </w:rPr>
        <w:t>o</w:t>
      </w:r>
      <w:r w:rsidR="0021731A">
        <w:rPr>
          <w:rFonts w:asciiTheme="minorHAnsi" w:hAnsiTheme="minorHAnsi"/>
          <w:sz w:val="22"/>
          <w:szCs w:val="20"/>
        </w:rPr>
        <w:t>strare</w:t>
      </w:r>
      <w:r w:rsidR="00442DCF">
        <w:rPr>
          <w:rFonts w:asciiTheme="minorHAnsi" w:hAnsiTheme="minorHAnsi"/>
          <w:sz w:val="22"/>
          <w:szCs w:val="20"/>
        </w:rPr>
        <w:t xml:space="preserve"> le conseguenze della fase recessiva: nel 2016 </w:t>
      </w:r>
      <w:r w:rsidRPr="007E7321">
        <w:rPr>
          <w:rFonts w:asciiTheme="minorHAnsi" w:hAnsiTheme="minorHAnsi"/>
          <w:sz w:val="22"/>
          <w:szCs w:val="20"/>
        </w:rPr>
        <w:t xml:space="preserve">gli investimenti per abitante </w:t>
      </w:r>
      <w:r w:rsidR="007E7321" w:rsidRPr="007E7321">
        <w:rPr>
          <w:rFonts w:asciiTheme="minorHAnsi" w:hAnsiTheme="minorHAnsi"/>
          <w:sz w:val="22"/>
          <w:szCs w:val="20"/>
        </w:rPr>
        <w:t>sono pari a 3.190 euro</w:t>
      </w:r>
      <w:r w:rsidR="00442DCF" w:rsidRPr="00442DCF">
        <w:rPr>
          <w:rFonts w:asciiTheme="minorHAnsi" w:hAnsiTheme="minorHAnsi"/>
          <w:sz w:val="22"/>
          <w:szCs w:val="20"/>
        </w:rPr>
        <w:t xml:space="preserve"> </w:t>
      </w:r>
      <w:r w:rsidR="00442DCF" w:rsidRPr="007E7321">
        <w:rPr>
          <w:rFonts w:asciiTheme="minorHAnsi" w:hAnsiTheme="minorHAnsi"/>
          <w:sz w:val="22"/>
          <w:szCs w:val="20"/>
        </w:rPr>
        <w:t>in Sardegna</w:t>
      </w:r>
      <w:r w:rsidR="007E7321" w:rsidRPr="007E7321">
        <w:rPr>
          <w:rFonts w:asciiTheme="minorHAnsi" w:hAnsiTheme="minorHAnsi"/>
          <w:sz w:val="22"/>
          <w:szCs w:val="20"/>
        </w:rPr>
        <w:t>, in calo</w:t>
      </w:r>
      <w:r w:rsidRPr="007E7321">
        <w:rPr>
          <w:rFonts w:asciiTheme="minorHAnsi" w:hAnsiTheme="minorHAnsi"/>
          <w:sz w:val="22"/>
          <w:szCs w:val="20"/>
        </w:rPr>
        <w:t xml:space="preserve"> del</w:t>
      </w:r>
      <w:r w:rsidR="00766745" w:rsidRPr="007E7321">
        <w:rPr>
          <w:rFonts w:asciiTheme="minorHAnsi" w:hAnsiTheme="minorHAnsi"/>
          <w:sz w:val="22"/>
          <w:szCs w:val="20"/>
        </w:rPr>
        <w:t>lo 0,9%</w:t>
      </w:r>
      <w:r w:rsidRPr="007E7321">
        <w:rPr>
          <w:rFonts w:asciiTheme="minorHAnsi" w:hAnsiTheme="minorHAnsi"/>
          <w:sz w:val="22"/>
          <w:szCs w:val="20"/>
        </w:rPr>
        <w:t xml:space="preserve"> rispetto al 201</w:t>
      </w:r>
      <w:r w:rsidR="00766745" w:rsidRPr="007E7321">
        <w:rPr>
          <w:rFonts w:asciiTheme="minorHAnsi" w:hAnsiTheme="minorHAnsi"/>
          <w:sz w:val="22"/>
          <w:szCs w:val="20"/>
        </w:rPr>
        <w:t>5</w:t>
      </w:r>
      <w:r w:rsidRPr="007E7321">
        <w:rPr>
          <w:rFonts w:asciiTheme="minorHAnsi" w:hAnsiTheme="minorHAnsi"/>
          <w:sz w:val="22"/>
          <w:szCs w:val="20"/>
        </w:rPr>
        <w:t xml:space="preserve">. L'andamento è in </w:t>
      </w:r>
      <w:r w:rsidR="00766745" w:rsidRPr="007E7321">
        <w:rPr>
          <w:rFonts w:asciiTheme="minorHAnsi" w:hAnsiTheme="minorHAnsi"/>
          <w:sz w:val="22"/>
          <w:szCs w:val="20"/>
        </w:rPr>
        <w:t xml:space="preserve">linea </w:t>
      </w:r>
      <w:r w:rsidRPr="007E7321">
        <w:rPr>
          <w:rFonts w:asciiTheme="minorHAnsi" w:hAnsiTheme="minorHAnsi"/>
          <w:sz w:val="22"/>
          <w:szCs w:val="20"/>
        </w:rPr>
        <w:t xml:space="preserve">rispetto </w:t>
      </w:r>
      <w:r w:rsidR="00C10DF1" w:rsidRPr="007E7321">
        <w:rPr>
          <w:rFonts w:asciiTheme="minorHAnsi" w:hAnsiTheme="minorHAnsi"/>
          <w:sz w:val="22"/>
          <w:szCs w:val="20"/>
        </w:rPr>
        <w:t>a</w:t>
      </w:r>
      <w:r w:rsidRPr="007E7321">
        <w:rPr>
          <w:rFonts w:asciiTheme="minorHAnsi" w:hAnsiTheme="minorHAnsi"/>
          <w:sz w:val="22"/>
          <w:szCs w:val="20"/>
        </w:rPr>
        <w:t>l Mezzogiorno</w:t>
      </w:r>
      <w:r w:rsidR="00766745" w:rsidRPr="007E7321">
        <w:rPr>
          <w:rFonts w:asciiTheme="minorHAnsi" w:hAnsiTheme="minorHAnsi"/>
          <w:sz w:val="22"/>
          <w:szCs w:val="20"/>
        </w:rPr>
        <w:t xml:space="preserve"> (-0,5%)</w:t>
      </w:r>
      <w:r w:rsidR="00C10DF1" w:rsidRPr="007E7321">
        <w:rPr>
          <w:rFonts w:asciiTheme="minorHAnsi" w:hAnsiTheme="minorHAnsi"/>
          <w:sz w:val="22"/>
          <w:szCs w:val="20"/>
        </w:rPr>
        <w:t xml:space="preserve">, </w:t>
      </w:r>
      <w:r w:rsidR="00766745" w:rsidRPr="007E7321">
        <w:rPr>
          <w:rFonts w:asciiTheme="minorHAnsi" w:hAnsiTheme="minorHAnsi"/>
          <w:sz w:val="22"/>
          <w:szCs w:val="20"/>
        </w:rPr>
        <w:t xml:space="preserve">mentre il </w:t>
      </w:r>
      <w:r w:rsidR="00C10DF1" w:rsidRPr="007E7321">
        <w:rPr>
          <w:rFonts w:asciiTheme="minorHAnsi" w:hAnsiTheme="minorHAnsi"/>
          <w:sz w:val="22"/>
          <w:szCs w:val="20"/>
        </w:rPr>
        <w:t xml:space="preserve">Centro-Nord </w:t>
      </w:r>
      <w:r w:rsidR="0070136E" w:rsidRPr="007E7321">
        <w:rPr>
          <w:rFonts w:asciiTheme="minorHAnsi" w:hAnsiTheme="minorHAnsi"/>
          <w:sz w:val="22"/>
          <w:szCs w:val="20"/>
        </w:rPr>
        <w:t xml:space="preserve">va in direzione opposta e registra </w:t>
      </w:r>
      <w:r w:rsidR="007E7321" w:rsidRPr="007E7321">
        <w:rPr>
          <w:rFonts w:asciiTheme="minorHAnsi" w:hAnsiTheme="minorHAnsi"/>
          <w:sz w:val="22"/>
          <w:szCs w:val="20"/>
        </w:rPr>
        <w:t>un +4,9%</w:t>
      </w:r>
      <w:r w:rsidR="00C10DF1" w:rsidRPr="007E7321">
        <w:rPr>
          <w:rFonts w:asciiTheme="minorHAnsi" w:hAnsiTheme="minorHAnsi"/>
          <w:sz w:val="22"/>
          <w:szCs w:val="20"/>
        </w:rPr>
        <w:t xml:space="preserve">. Per il complesso del paese sembra superata la fase di rallentamento del processo di accumulazione di capitale particolarmente evidente nel quinquennio 2011-2015, ma </w:t>
      </w:r>
      <w:r w:rsidR="007E7321" w:rsidRPr="007E7321">
        <w:rPr>
          <w:rFonts w:asciiTheme="minorHAnsi" w:hAnsiTheme="minorHAnsi"/>
          <w:sz w:val="22"/>
          <w:szCs w:val="20"/>
        </w:rPr>
        <w:t>molte regioni del Mezzogiorno, tra cui la Sardegna,</w:t>
      </w:r>
      <w:r w:rsidR="00C10DF1" w:rsidRPr="007E7321">
        <w:rPr>
          <w:rFonts w:asciiTheme="minorHAnsi" w:hAnsiTheme="minorHAnsi"/>
          <w:sz w:val="22"/>
          <w:szCs w:val="20"/>
        </w:rPr>
        <w:t xml:space="preserve"> non sperimenta</w:t>
      </w:r>
      <w:r w:rsidR="000B3D57">
        <w:rPr>
          <w:rFonts w:asciiTheme="minorHAnsi" w:hAnsiTheme="minorHAnsi"/>
          <w:sz w:val="22"/>
          <w:szCs w:val="20"/>
        </w:rPr>
        <w:t>no</w:t>
      </w:r>
      <w:r w:rsidR="00C10DF1" w:rsidRPr="007E7321">
        <w:rPr>
          <w:rFonts w:asciiTheme="minorHAnsi" w:hAnsiTheme="minorHAnsi"/>
          <w:sz w:val="22"/>
          <w:szCs w:val="20"/>
        </w:rPr>
        <w:t xml:space="preserve"> ancora tale inversione di te</w:t>
      </w:r>
      <w:r w:rsidR="00C10DF1" w:rsidRPr="007E7321">
        <w:rPr>
          <w:rFonts w:asciiTheme="minorHAnsi" w:hAnsiTheme="minorHAnsi"/>
          <w:sz w:val="22"/>
          <w:szCs w:val="20"/>
        </w:rPr>
        <w:t>n</w:t>
      </w:r>
      <w:r w:rsidR="00C10DF1" w:rsidRPr="007E7321">
        <w:rPr>
          <w:rFonts w:asciiTheme="minorHAnsi" w:hAnsiTheme="minorHAnsi"/>
          <w:sz w:val="22"/>
          <w:szCs w:val="20"/>
        </w:rPr>
        <w:t>denza. Ciò che appare preoccupante è la constatazione che in un decennio il valore degli investimenti nell'Is</w:t>
      </w:r>
      <w:r w:rsidR="00C10DF1" w:rsidRPr="007E7321">
        <w:rPr>
          <w:rFonts w:asciiTheme="minorHAnsi" w:hAnsiTheme="minorHAnsi"/>
          <w:sz w:val="22"/>
          <w:szCs w:val="20"/>
        </w:rPr>
        <w:t>o</w:t>
      </w:r>
      <w:r w:rsidR="00C10DF1" w:rsidRPr="007E7321">
        <w:rPr>
          <w:rFonts w:asciiTheme="minorHAnsi" w:hAnsiTheme="minorHAnsi"/>
          <w:sz w:val="22"/>
          <w:szCs w:val="20"/>
        </w:rPr>
        <w:t>la ha subito un dimezzamento: da 6.</w:t>
      </w:r>
      <w:r w:rsidR="007E7321" w:rsidRPr="007E7321">
        <w:rPr>
          <w:rFonts w:asciiTheme="minorHAnsi" w:hAnsiTheme="minorHAnsi"/>
          <w:sz w:val="22"/>
          <w:szCs w:val="20"/>
        </w:rPr>
        <w:t>534</w:t>
      </w:r>
      <w:r w:rsidR="00C10DF1" w:rsidRPr="007E7321">
        <w:rPr>
          <w:rFonts w:asciiTheme="minorHAnsi" w:hAnsiTheme="minorHAnsi"/>
          <w:sz w:val="22"/>
          <w:szCs w:val="20"/>
        </w:rPr>
        <w:t xml:space="preserve"> euro del 200</w:t>
      </w:r>
      <w:r w:rsidR="007E7321" w:rsidRPr="007E7321">
        <w:rPr>
          <w:rFonts w:asciiTheme="minorHAnsi" w:hAnsiTheme="minorHAnsi"/>
          <w:sz w:val="22"/>
          <w:szCs w:val="20"/>
        </w:rPr>
        <w:t>7</w:t>
      </w:r>
      <w:r w:rsidR="00C10DF1" w:rsidRPr="007E7321">
        <w:rPr>
          <w:rFonts w:asciiTheme="minorHAnsi" w:hAnsiTheme="minorHAnsi"/>
          <w:sz w:val="22"/>
          <w:szCs w:val="20"/>
        </w:rPr>
        <w:t xml:space="preserve"> si passa a 3.</w:t>
      </w:r>
      <w:r w:rsidR="00442DCF">
        <w:rPr>
          <w:rFonts w:asciiTheme="minorHAnsi" w:hAnsiTheme="minorHAnsi"/>
          <w:sz w:val="22"/>
          <w:szCs w:val="20"/>
        </w:rPr>
        <w:t>19</w:t>
      </w:r>
      <w:r w:rsidR="00C10DF1" w:rsidRPr="007E7321">
        <w:rPr>
          <w:rFonts w:asciiTheme="minorHAnsi" w:hAnsiTheme="minorHAnsi"/>
          <w:sz w:val="22"/>
          <w:szCs w:val="20"/>
        </w:rPr>
        <w:t>0 euro per abitante del 201</w:t>
      </w:r>
      <w:r w:rsidR="007E7321" w:rsidRPr="007E7321">
        <w:rPr>
          <w:rFonts w:asciiTheme="minorHAnsi" w:hAnsiTheme="minorHAnsi"/>
          <w:sz w:val="22"/>
          <w:szCs w:val="20"/>
        </w:rPr>
        <w:t>6</w:t>
      </w:r>
      <w:r w:rsidR="00C10DF1" w:rsidRPr="007E7321">
        <w:rPr>
          <w:rFonts w:asciiTheme="minorHAnsi" w:hAnsiTheme="minorHAnsi"/>
          <w:sz w:val="22"/>
          <w:szCs w:val="20"/>
        </w:rPr>
        <w:t>.</w:t>
      </w:r>
    </w:p>
    <w:p w:rsidR="00B844F9" w:rsidRPr="007E7321" w:rsidRDefault="00B844F9" w:rsidP="00DB0A17">
      <w:pPr>
        <w:spacing w:before="240" w:after="0"/>
        <w:outlineLvl w:val="0"/>
        <w:rPr>
          <w:rFonts w:asciiTheme="minorHAnsi" w:hAnsiTheme="minorHAnsi"/>
          <w:b/>
          <w:sz w:val="22"/>
          <w:szCs w:val="20"/>
        </w:rPr>
      </w:pPr>
      <w:r w:rsidRPr="007E7321">
        <w:rPr>
          <w:rFonts w:asciiTheme="minorHAnsi" w:hAnsiTheme="minorHAnsi"/>
          <w:b/>
          <w:sz w:val="22"/>
          <w:szCs w:val="20"/>
        </w:rPr>
        <w:t>La struttura produttiva</w:t>
      </w:r>
      <w:r w:rsidR="00774432" w:rsidRPr="007E7321">
        <w:rPr>
          <w:rFonts w:asciiTheme="minorHAnsi" w:hAnsiTheme="minorHAnsi"/>
          <w:b/>
          <w:sz w:val="22"/>
          <w:szCs w:val="20"/>
        </w:rPr>
        <w:t xml:space="preserve">: </w:t>
      </w:r>
      <w:r w:rsidR="003E178B" w:rsidRPr="007E7321">
        <w:rPr>
          <w:rFonts w:asciiTheme="minorHAnsi" w:hAnsiTheme="minorHAnsi"/>
          <w:b/>
          <w:sz w:val="22"/>
          <w:szCs w:val="20"/>
        </w:rPr>
        <w:t xml:space="preserve">segnali di </w:t>
      </w:r>
      <w:r w:rsidR="00AE5C61">
        <w:rPr>
          <w:rFonts w:asciiTheme="minorHAnsi" w:hAnsiTheme="minorHAnsi"/>
          <w:b/>
          <w:sz w:val="22"/>
          <w:szCs w:val="20"/>
        </w:rPr>
        <w:t>vivacità imprenditoriale</w:t>
      </w:r>
      <w:r w:rsidR="003E178B" w:rsidRPr="007E7321">
        <w:rPr>
          <w:rFonts w:asciiTheme="minorHAnsi" w:hAnsiTheme="minorHAnsi"/>
          <w:b/>
          <w:sz w:val="22"/>
          <w:szCs w:val="20"/>
        </w:rPr>
        <w:t>,</w:t>
      </w:r>
      <w:r w:rsidR="00C10DF1" w:rsidRPr="007E7321">
        <w:rPr>
          <w:rFonts w:asciiTheme="minorHAnsi" w:hAnsiTheme="minorHAnsi"/>
          <w:b/>
          <w:sz w:val="22"/>
          <w:szCs w:val="20"/>
        </w:rPr>
        <w:t xml:space="preserve"> esportazioni in espansione</w:t>
      </w:r>
    </w:p>
    <w:p w:rsidR="0010568C" w:rsidRPr="008C18E4" w:rsidRDefault="00EA5748" w:rsidP="00700912">
      <w:pPr>
        <w:spacing w:after="0"/>
        <w:outlineLvl w:val="0"/>
        <w:rPr>
          <w:rFonts w:asciiTheme="minorHAnsi" w:hAnsiTheme="minorHAnsi"/>
          <w:sz w:val="22"/>
          <w:szCs w:val="20"/>
          <w:highlight w:val="yellow"/>
        </w:rPr>
      </w:pPr>
      <w:r w:rsidRPr="007E7321">
        <w:rPr>
          <w:rFonts w:asciiTheme="minorHAnsi" w:hAnsiTheme="minorHAnsi"/>
          <w:sz w:val="22"/>
          <w:szCs w:val="20"/>
        </w:rPr>
        <w:t xml:space="preserve">Le imprese attive in Sardegna </w:t>
      </w:r>
      <w:r w:rsidR="007E7321" w:rsidRPr="007E7321">
        <w:rPr>
          <w:rFonts w:asciiTheme="minorHAnsi" w:hAnsiTheme="minorHAnsi"/>
          <w:sz w:val="22"/>
          <w:szCs w:val="20"/>
        </w:rPr>
        <w:t xml:space="preserve">aumentano di 348 unità e nel 2018 sono </w:t>
      </w:r>
      <w:r w:rsidRPr="007E7321">
        <w:rPr>
          <w:rFonts w:asciiTheme="minorHAnsi" w:hAnsiTheme="minorHAnsi"/>
          <w:sz w:val="22"/>
          <w:szCs w:val="20"/>
        </w:rPr>
        <w:t>14</w:t>
      </w:r>
      <w:r w:rsidR="007E7321" w:rsidRPr="007E7321">
        <w:rPr>
          <w:rFonts w:asciiTheme="minorHAnsi" w:hAnsiTheme="minorHAnsi"/>
          <w:sz w:val="22"/>
          <w:szCs w:val="20"/>
        </w:rPr>
        <w:t>3</w:t>
      </w:r>
      <w:r w:rsidRPr="007E7321">
        <w:rPr>
          <w:rFonts w:asciiTheme="minorHAnsi" w:hAnsiTheme="minorHAnsi"/>
          <w:sz w:val="22"/>
          <w:szCs w:val="20"/>
        </w:rPr>
        <w:t>.</w:t>
      </w:r>
      <w:r w:rsidR="007E7321" w:rsidRPr="007E7321">
        <w:rPr>
          <w:rFonts w:asciiTheme="minorHAnsi" w:hAnsiTheme="minorHAnsi"/>
          <w:sz w:val="22"/>
          <w:szCs w:val="20"/>
        </w:rPr>
        <w:t>299</w:t>
      </w:r>
      <w:r w:rsidR="0010568C" w:rsidRPr="007E7321">
        <w:rPr>
          <w:rFonts w:asciiTheme="minorHAnsi" w:hAnsiTheme="minorHAnsi"/>
          <w:sz w:val="22"/>
          <w:szCs w:val="20"/>
        </w:rPr>
        <w:t>. Il tessuto imprenditoriale è frammentato</w:t>
      </w:r>
      <w:r w:rsidRPr="007E7321">
        <w:rPr>
          <w:rFonts w:asciiTheme="minorHAnsi" w:hAnsiTheme="minorHAnsi"/>
          <w:sz w:val="22"/>
          <w:szCs w:val="20"/>
        </w:rPr>
        <w:t xml:space="preserve">: gli addetti delle </w:t>
      </w:r>
      <w:r w:rsidR="0010568C" w:rsidRPr="007E7321">
        <w:rPr>
          <w:rFonts w:asciiTheme="minorHAnsi" w:hAnsiTheme="minorHAnsi"/>
          <w:sz w:val="22"/>
          <w:szCs w:val="20"/>
        </w:rPr>
        <w:t xml:space="preserve">microimprese </w:t>
      </w:r>
      <w:r w:rsidRPr="007E7321">
        <w:rPr>
          <w:rFonts w:asciiTheme="minorHAnsi" w:hAnsiTheme="minorHAnsi"/>
          <w:sz w:val="22"/>
          <w:szCs w:val="20"/>
        </w:rPr>
        <w:t xml:space="preserve">sono il </w:t>
      </w:r>
      <w:r w:rsidR="003847E4" w:rsidRPr="007E7321">
        <w:rPr>
          <w:rFonts w:asciiTheme="minorHAnsi" w:hAnsiTheme="minorHAnsi"/>
          <w:sz w:val="22"/>
          <w:szCs w:val="20"/>
        </w:rPr>
        <w:t>6</w:t>
      </w:r>
      <w:r w:rsidR="007E7321" w:rsidRPr="007E7321">
        <w:rPr>
          <w:rFonts w:asciiTheme="minorHAnsi" w:hAnsiTheme="minorHAnsi"/>
          <w:sz w:val="22"/>
          <w:szCs w:val="20"/>
        </w:rPr>
        <w:t>4</w:t>
      </w:r>
      <w:r w:rsidRPr="007E7321">
        <w:rPr>
          <w:rFonts w:asciiTheme="minorHAnsi" w:hAnsiTheme="minorHAnsi"/>
          <w:sz w:val="22"/>
          <w:szCs w:val="20"/>
        </w:rPr>
        <w:t xml:space="preserve">% del totale, una quota </w:t>
      </w:r>
      <w:r w:rsidR="0010568C" w:rsidRPr="007E7321">
        <w:rPr>
          <w:rFonts w:asciiTheme="minorHAnsi" w:hAnsiTheme="minorHAnsi"/>
          <w:sz w:val="22"/>
          <w:szCs w:val="20"/>
        </w:rPr>
        <w:t>maggiore di quel</w:t>
      </w:r>
      <w:r w:rsidR="00B844F9" w:rsidRPr="007E7321">
        <w:rPr>
          <w:rFonts w:asciiTheme="minorHAnsi" w:hAnsiTheme="minorHAnsi"/>
          <w:sz w:val="22"/>
          <w:szCs w:val="20"/>
        </w:rPr>
        <w:t xml:space="preserve">la italiana </w:t>
      </w:r>
      <w:r w:rsidR="009F5868" w:rsidRPr="007E7321">
        <w:rPr>
          <w:rFonts w:asciiTheme="minorHAnsi" w:hAnsiTheme="minorHAnsi"/>
          <w:sz w:val="22"/>
          <w:szCs w:val="20"/>
        </w:rPr>
        <w:t>(4</w:t>
      </w:r>
      <w:r w:rsidR="007E7321" w:rsidRPr="007E7321">
        <w:rPr>
          <w:rFonts w:asciiTheme="minorHAnsi" w:hAnsiTheme="minorHAnsi"/>
          <w:sz w:val="22"/>
          <w:szCs w:val="20"/>
        </w:rPr>
        <w:t>5</w:t>
      </w:r>
      <w:r w:rsidR="009F5868" w:rsidRPr="007E7321">
        <w:rPr>
          <w:rFonts w:asciiTheme="minorHAnsi" w:hAnsiTheme="minorHAnsi"/>
          <w:sz w:val="22"/>
          <w:szCs w:val="20"/>
        </w:rPr>
        <w:t xml:space="preserve">%), </w:t>
      </w:r>
      <w:r w:rsidR="00B844F9" w:rsidRPr="007E7321">
        <w:rPr>
          <w:rFonts w:asciiTheme="minorHAnsi" w:hAnsiTheme="minorHAnsi"/>
          <w:sz w:val="22"/>
          <w:szCs w:val="20"/>
        </w:rPr>
        <w:t>già di per sé rile</w:t>
      </w:r>
      <w:r w:rsidR="0010568C" w:rsidRPr="007E7321">
        <w:rPr>
          <w:rFonts w:asciiTheme="minorHAnsi" w:hAnsiTheme="minorHAnsi"/>
          <w:sz w:val="22"/>
          <w:szCs w:val="20"/>
        </w:rPr>
        <w:t xml:space="preserve">vante. Dal punto di vista settoriale </w:t>
      </w:r>
      <w:r w:rsidRPr="007E7321">
        <w:rPr>
          <w:rFonts w:asciiTheme="minorHAnsi" w:hAnsiTheme="minorHAnsi"/>
          <w:sz w:val="22"/>
          <w:szCs w:val="20"/>
        </w:rPr>
        <w:t xml:space="preserve">si </w:t>
      </w:r>
      <w:r w:rsidR="0010568C" w:rsidRPr="007E7321">
        <w:rPr>
          <w:rFonts w:asciiTheme="minorHAnsi" w:hAnsiTheme="minorHAnsi"/>
          <w:sz w:val="22"/>
          <w:szCs w:val="20"/>
        </w:rPr>
        <w:t xml:space="preserve">conferma la </w:t>
      </w:r>
      <w:r w:rsidRPr="007E7321">
        <w:rPr>
          <w:rFonts w:asciiTheme="minorHAnsi" w:hAnsiTheme="minorHAnsi"/>
          <w:sz w:val="22"/>
          <w:szCs w:val="20"/>
        </w:rPr>
        <w:t>forza del comparto a</w:t>
      </w:r>
      <w:r w:rsidR="0010568C" w:rsidRPr="007E7321">
        <w:rPr>
          <w:rFonts w:asciiTheme="minorHAnsi" w:hAnsiTheme="minorHAnsi"/>
          <w:sz w:val="22"/>
          <w:szCs w:val="20"/>
        </w:rPr>
        <w:t>gr</w:t>
      </w:r>
      <w:r w:rsidRPr="007E7321">
        <w:rPr>
          <w:rFonts w:asciiTheme="minorHAnsi" w:hAnsiTheme="minorHAnsi"/>
          <w:sz w:val="22"/>
          <w:szCs w:val="20"/>
        </w:rPr>
        <w:t>icol</w:t>
      </w:r>
      <w:r w:rsidR="0010568C" w:rsidRPr="007E7321">
        <w:rPr>
          <w:rFonts w:asciiTheme="minorHAnsi" w:hAnsiTheme="minorHAnsi"/>
          <w:sz w:val="22"/>
          <w:szCs w:val="20"/>
        </w:rPr>
        <w:t xml:space="preserve">o, sia nel numero delle imprese </w:t>
      </w:r>
      <w:r w:rsidR="003847E4" w:rsidRPr="007E7321">
        <w:rPr>
          <w:rFonts w:asciiTheme="minorHAnsi" w:hAnsiTheme="minorHAnsi"/>
          <w:sz w:val="22"/>
          <w:szCs w:val="20"/>
        </w:rPr>
        <w:t>(</w:t>
      </w:r>
      <w:r w:rsidR="007E7321" w:rsidRPr="007E7321">
        <w:rPr>
          <w:rFonts w:asciiTheme="minorHAnsi" w:hAnsiTheme="minorHAnsi"/>
          <w:sz w:val="22"/>
          <w:szCs w:val="20"/>
        </w:rPr>
        <w:t>più di</w:t>
      </w:r>
      <w:r w:rsidR="003847E4" w:rsidRPr="007E7321">
        <w:rPr>
          <w:rFonts w:asciiTheme="minorHAnsi" w:hAnsiTheme="minorHAnsi"/>
          <w:sz w:val="22"/>
          <w:szCs w:val="20"/>
        </w:rPr>
        <w:t xml:space="preserve"> 34mila, pa</w:t>
      </w:r>
      <w:r w:rsidRPr="007E7321">
        <w:rPr>
          <w:rFonts w:asciiTheme="minorHAnsi" w:hAnsiTheme="minorHAnsi"/>
          <w:sz w:val="22"/>
          <w:szCs w:val="20"/>
        </w:rPr>
        <w:t>ri al 2</w:t>
      </w:r>
      <w:r w:rsidR="003847E4" w:rsidRPr="007E7321">
        <w:rPr>
          <w:rFonts w:asciiTheme="minorHAnsi" w:hAnsiTheme="minorHAnsi"/>
          <w:sz w:val="22"/>
          <w:szCs w:val="20"/>
        </w:rPr>
        <w:t xml:space="preserve">4% del totale) </w:t>
      </w:r>
      <w:r w:rsidR="00AD1AB0">
        <w:rPr>
          <w:rFonts w:asciiTheme="minorHAnsi" w:hAnsiTheme="minorHAnsi"/>
          <w:sz w:val="22"/>
          <w:szCs w:val="20"/>
        </w:rPr>
        <w:t>sia</w:t>
      </w:r>
      <w:r w:rsidR="00AD1AB0" w:rsidRPr="007E7321">
        <w:rPr>
          <w:rFonts w:asciiTheme="minorHAnsi" w:hAnsiTheme="minorHAnsi"/>
          <w:sz w:val="22"/>
          <w:szCs w:val="20"/>
        </w:rPr>
        <w:t xml:space="preserve"> </w:t>
      </w:r>
      <w:r w:rsidR="0010568C" w:rsidRPr="007E7321">
        <w:rPr>
          <w:rFonts w:asciiTheme="minorHAnsi" w:hAnsiTheme="minorHAnsi"/>
          <w:sz w:val="22"/>
          <w:szCs w:val="20"/>
        </w:rPr>
        <w:t xml:space="preserve">nella loro capacità di creare valore </w:t>
      </w:r>
      <w:r w:rsidR="0010568C" w:rsidRPr="00AE5C61">
        <w:rPr>
          <w:rFonts w:asciiTheme="minorHAnsi" w:hAnsiTheme="minorHAnsi"/>
          <w:sz w:val="22"/>
          <w:szCs w:val="20"/>
        </w:rPr>
        <w:t>aggiunto</w:t>
      </w:r>
      <w:r w:rsidR="003847E4" w:rsidRPr="00AE5C61">
        <w:rPr>
          <w:rFonts w:asciiTheme="minorHAnsi" w:hAnsiTheme="minorHAnsi"/>
          <w:sz w:val="22"/>
          <w:szCs w:val="20"/>
        </w:rPr>
        <w:t xml:space="preserve"> </w:t>
      </w:r>
      <w:r w:rsidR="003847E4" w:rsidRPr="00AE5C61">
        <w:rPr>
          <w:rFonts w:asciiTheme="minorHAnsi" w:hAnsiTheme="minorHAnsi"/>
          <w:sz w:val="22"/>
          <w:szCs w:val="20"/>
        </w:rPr>
        <w:lastRenderedPageBreak/>
        <w:t xml:space="preserve">(5% in Sardegna contro 2% in Italia). Permane </w:t>
      </w:r>
      <w:r w:rsidR="0010568C" w:rsidRPr="00AE5C61">
        <w:rPr>
          <w:rFonts w:asciiTheme="minorHAnsi" w:hAnsiTheme="minorHAnsi"/>
          <w:sz w:val="22"/>
          <w:szCs w:val="20"/>
        </w:rPr>
        <w:t xml:space="preserve">il sottodimensionamento </w:t>
      </w:r>
      <w:r w:rsidR="003847E4" w:rsidRPr="00AE5C61">
        <w:rPr>
          <w:rFonts w:asciiTheme="minorHAnsi" w:hAnsiTheme="minorHAnsi"/>
          <w:sz w:val="22"/>
          <w:szCs w:val="20"/>
        </w:rPr>
        <w:t>de</w:t>
      </w:r>
      <w:r w:rsidR="0010568C" w:rsidRPr="00AE5C61">
        <w:rPr>
          <w:rFonts w:asciiTheme="minorHAnsi" w:hAnsiTheme="minorHAnsi"/>
          <w:sz w:val="22"/>
          <w:szCs w:val="20"/>
        </w:rPr>
        <w:t>l comparto industria</w:t>
      </w:r>
      <w:r w:rsidR="003847E4" w:rsidRPr="00AE5C61">
        <w:rPr>
          <w:rFonts w:asciiTheme="minorHAnsi" w:hAnsiTheme="minorHAnsi"/>
          <w:sz w:val="22"/>
          <w:szCs w:val="20"/>
        </w:rPr>
        <w:t>le (2</w:t>
      </w:r>
      <w:r w:rsidRPr="00AE5C61">
        <w:rPr>
          <w:rFonts w:asciiTheme="minorHAnsi" w:hAnsiTheme="minorHAnsi"/>
          <w:sz w:val="22"/>
          <w:szCs w:val="20"/>
        </w:rPr>
        <w:t>1</w:t>
      </w:r>
      <w:r w:rsidR="003847E4" w:rsidRPr="00AE5C61">
        <w:rPr>
          <w:rFonts w:asciiTheme="minorHAnsi" w:hAnsiTheme="minorHAnsi"/>
          <w:sz w:val="22"/>
          <w:szCs w:val="20"/>
        </w:rPr>
        <w:t xml:space="preserve">% delle imprese e </w:t>
      </w:r>
      <w:r w:rsidRPr="00AE5C61">
        <w:rPr>
          <w:rFonts w:asciiTheme="minorHAnsi" w:hAnsiTheme="minorHAnsi"/>
          <w:sz w:val="22"/>
          <w:szCs w:val="20"/>
        </w:rPr>
        <w:t>16</w:t>
      </w:r>
      <w:r w:rsidR="003847E4" w:rsidRPr="00AE5C61">
        <w:rPr>
          <w:rFonts w:asciiTheme="minorHAnsi" w:hAnsiTheme="minorHAnsi"/>
          <w:sz w:val="22"/>
          <w:szCs w:val="20"/>
        </w:rPr>
        <w:t>% del valore aggiunto in Sardegna</w:t>
      </w:r>
      <w:r w:rsidR="00C25AB0" w:rsidRPr="00AE5C61">
        <w:rPr>
          <w:rFonts w:asciiTheme="minorHAnsi" w:hAnsiTheme="minorHAnsi"/>
          <w:sz w:val="22"/>
          <w:szCs w:val="20"/>
        </w:rPr>
        <w:t>,</w:t>
      </w:r>
      <w:r w:rsidR="003847E4" w:rsidRPr="00AE5C61">
        <w:rPr>
          <w:rFonts w:asciiTheme="minorHAnsi" w:hAnsiTheme="minorHAnsi"/>
          <w:sz w:val="22"/>
          <w:szCs w:val="20"/>
        </w:rPr>
        <w:t xml:space="preserve"> contro 2</w:t>
      </w:r>
      <w:r w:rsidR="005F4AE0" w:rsidRPr="00AE5C61">
        <w:rPr>
          <w:rFonts w:asciiTheme="minorHAnsi" w:hAnsiTheme="minorHAnsi"/>
          <w:sz w:val="22"/>
          <w:szCs w:val="20"/>
        </w:rPr>
        <w:t>4</w:t>
      </w:r>
      <w:r w:rsidR="003847E4" w:rsidRPr="00AE5C61">
        <w:rPr>
          <w:rFonts w:asciiTheme="minorHAnsi" w:hAnsiTheme="minorHAnsi"/>
          <w:sz w:val="22"/>
          <w:szCs w:val="20"/>
        </w:rPr>
        <w:t>% di imprese e del valore aggiunto in Italia)</w:t>
      </w:r>
      <w:r w:rsidR="0010568C" w:rsidRPr="00AE5C61">
        <w:rPr>
          <w:rFonts w:asciiTheme="minorHAnsi" w:hAnsiTheme="minorHAnsi"/>
          <w:sz w:val="22"/>
          <w:szCs w:val="20"/>
        </w:rPr>
        <w:t>. In Sa</w:t>
      </w:r>
      <w:r w:rsidR="0010568C" w:rsidRPr="00AE5C61">
        <w:rPr>
          <w:rFonts w:asciiTheme="minorHAnsi" w:hAnsiTheme="minorHAnsi"/>
          <w:sz w:val="22"/>
          <w:szCs w:val="20"/>
        </w:rPr>
        <w:t>r</w:t>
      </w:r>
      <w:r w:rsidR="0010568C" w:rsidRPr="00AE5C61">
        <w:rPr>
          <w:rFonts w:asciiTheme="minorHAnsi" w:hAnsiTheme="minorHAnsi"/>
          <w:sz w:val="22"/>
          <w:szCs w:val="20"/>
        </w:rPr>
        <w:t xml:space="preserve">degna i settori legati alle attività svolte prevalentemente in ambito pubblico e ai servizi non destinabili alla vendita sono responsabili di </w:t>
      </w:r>
      <w:r w:rsidR="00AE5C61" w:rsidRPr="00AE5C61">
        <w:rPr>
          <w:rFonts w:asciiTheme="minorHAnsi" w:hAnsiTheme="minorHAnsi"/>
          <w:sz w:val="22"/>
          <w:szCs w:val="20"/>
        </w:rPr>
        <w:t>oltre un quarto</w:t>
      </w:r>
      <w:r w:rsidR="0010568C" w:rsidRPr="00AE5C61">
        <w:rPr>
          <w:rFonts w:asciiTheme="minorHAnsi" w:hAnsiTheme="minorHAnsi"/>
          <w:sz w:val="22"/>
          <w:szCs w:val="20"/>
        </w:rPr>
        <w:t xml:space="preserve"> del valore aggiunto complessivo, mentre le imprese che produc</w:t>
      </w:r>
      <w:r w:rsidR="0010568C" w:rsidRPr="00AE5C61">
        <w:rPr>
          <w:rFonts w:asciiTheme="minorHAnsi" w:hAnsiTheme="minorHAnsi"/>
          <w:sz w:val="22"/>
          <w:szCs w:val="20"/>
        </w:rPr>
        <w:t>o</w:t>
      </w:r>
      <w:r w:rsidR="0010568C" w:rsidRPr="00AE5C61">
        <w:rPr>
          <w:rFonts w:asciiTheme="minorHAnsi" w:hAnsiTheme="minorHAnsi"/>
          <w:sz w:val="22"/>
          <w:szCs w:val="20"/>
        </w:rPr>
        <w:t xml:space="preserve">no beni e servizi destinati al mercato hanno un peso relativamente esiguo, denotando una scarsa capacità da parte del sistema produttivo isolano di creare valore. </w:t>
      </w:r>
    </w:p>
    <w:p w:rsidR="00B844F9" w:rsidRDefault="00B844F9" w:rsidP="0010568C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 w:rsidRPr="00AE5C61">
        <w:rPr>
          <w:rFonts w:asciiTheme="minorHAnsi" w:hAnsiTheme="minorHAnsi"/>
          <w:sz w:val="22"/>
          <w:szCs w:val="20"/>
        </w:rPr>
        <w:t>N</w:t>
      </w:r>
      <w:r w:rsidR="0010568C" w:rsidRPr="00AE5C61">
        <w:rPr>
          <w:rFonts w:asciiTheme="minorHAnsi" w:hAnsiTheme="minorHAnsi"/>
          <w:sz w:val="22"/>
          <w:szCs w:val="20"/>
        </w:rPr>
        <w:t>el 201</w:t>
      </w:r>
      <w:r w:rsidR="00AE5C61" w:rsidRPr="00AE5C61">
        <w:rPr>
          <w:rFonts w:asciiTheme="minorHAnsi" w:hAnsiTheme="minorHAnsi"/>
          <w:sz w:val="22"/>
          <w:szCs w:val="20"/>
        </w:rPr>
        <w:t>8</w:t>
      </w:r>
      <w:r w:rsidR="0010568C" w:rsidRPr="00AE5C61">
        <w:rPr>
          <w:rFonts w:asciiTheme="minorHAnsi" w:hAnsiTheme="minorHAnsi"/>
          <w:sz w:val="22"/>
          <w:szCs w:val="20"/>
        </w:rPr>
        <w:t xml:space="preserve"> </w:t>
      </w:r>
      <w:r w:rsidR="005F4AE0" w:rsidRPr="00AE5C61">
        <w:rPr>
          <w:rFonts w:asciiTheme="minorHAnsi" w:hAnsiTheme="minorHAnsi"/>
          <w:sz w:val="22"/>
          <w:szCs w:val="20"/>
        </w:rPr>
        <w:t xml:space="preserve">vi è una </w:t>
      </w:r>
      <w:r w:rsidR="00AE5C61" w:rsidRPr="00AE5C61">
        <w:rPr>
          <w:rFonts w:asciiTheme="minorHAnsi" w:hAnsiTheme="minorHAnsi"/>
          <w:sz w:val="22"/>
          <w:szCs w:val="20"/>
        </w:rPr>
        <w:t xml:space="preserve">ulteriore espansione </w:t>
      </w:r>
      <w:r w:rsidR="005F4AE0" w:rsidRPr="00AE5C61">
        <w:rPr>
          <w:rFonts w:asciiTheme="minorHAnsi" w:hAnsiTheme="minorHAnsi"/>
          <w:sz w:val="22"/>
          <w:szCs w:val="20"/>
        </w:rPr>
        <w:t>del</w:t>
      </w:r>
      <w:r w:rsidR="0010568C" w:rsidRPr="00AE5C61">
        <w:rPr>
          <w:rFonts w:asciiTheme="minorHAnsi" w:hAnsiTheme="minorHAnsi"/>
          <w:sz w:val="22"/>
          <w:szCs w:val="20"/>
        </w:rPr>
        <w:t xml:space="preserve">l'interscambio con l'estero sia dal lato delle importazioni </w:t>
      </w:r>
      <w:r w:rsidR="00AD1AB0">
        <w:rPr>
          <w:rFonts w:asciiTheme="minorHAnsi" w:hAnsiTheme="minorHAnsi"/>
          <w:sz w:val="22"/>
          <w:szCs w:val="20"/>
        </w:rPr>
        <w:t>sia</w:t>
      </w:r>
      <w:r w:rsidR="00AD1AB0" w:rsidRPr="00AE5C61">
        <w:rPr>
          <w:rFonts w:asciiTheme="minorHAnsi" w:hAnsiTheme="minorHAnsi"/>
          <w:sz w:val="22"/>
          <w:szCs w:val="20"/>
        </w:rPr>
        <w:t xml:space="preserve"> </w:t>
      </w:r>
      <w:r w:rsidR="0010568C" w:rsidRPr="00AE5C61">
        <w:rPr>
          <w:rFonts w:asciiTheme="minorHAnsi" w:hAnsiTheme="minorHAnsi"/>
          <w:sz w:val="22"/>
          <w:szCs w:val="20"/>
        </w:rPr>
        <w:t xml:space="preserve">delle esportazioni. </w:t>
      </w:r>
      <w:r w:rsidRPr="00AE5C61">
        <w:rPr>
          <w:rFonts w:asciiTheme="minorHAnsi" w:hAnsiTheme="minorHAnsi"/>
          <w:sz w:val="22"/>
          <w:szCs w:val="20"/>
        </w:rPr>
        <w:t>L</w:t>
      </w:r>
      <w:r w:rsidR="00AE5C61" w:rsidRPr="00AE5C61">
        <w:rPr>
          <w:rFonts w:asciiTheme="minorHAnsi" w:hAnsiTheme="minorHAnsi"/>
          <w:sz w:val="22"/>
          <w:szCs w:val="20"/>
        </w:rPr>
        <w:t>'</w:t>
      </w:r>
      <w:r w:rsidRPr="00AE5C61">
        <w:rPr>
          <w:rFonts w:asciiTheme="minorHAnsi" w:hAnsiTheme="minorHAnsi"/>
          <w:i/>
          <w:sz w:val="22"/>
          <w:szCs w:val="20"/>
        </w:rPr>
        <w:t>e</w:t>
      </w:r>
      <w:r w:rsidR="00AE5C61" w:rsidRPr="00AE5C61">
        <w:rPr>
          <w:rFonts w:asciiTheme="minorHAnsi" w:hAnsiTheme="minorHAnsi"/>
          <w:i/>
          <w:sz w:val="22"/>
          <w:szCs w:val="20"/>
        </w:rPr>
        <w:t xml:space="preserve">xport </w:t>
      </w:r>
      <w:r w:rsidR="00AE5C61" w:rsidRPr="00AE5C61">
        <w:rPr>
          <w:rFonts w:asciiTheme="minorHAnsi" w:hAnsiTheme="minorHAnsi"/>
          <w:sz w:val="22"/>
          <w:szCs w:val="20"/>
        </w:rPr>
        <w:t xml:space="preserve">sardo è pari </w:t>
      </w:r>
      <w:r w:rsidR="00AE5C61">
        <w:rPr>
          <w:rFonts w:asciiTheme="minorHAnsi" w:hAnsiTheme="minorHAnsi"/>
          <w:sz w:val="22"/>
          <w:szCs w:val="20"/>
        </w:rPr>
        <w:t xml:space="preserve">complessivamente </w:t>
      </w:r>
      <w:r w:rsidR="00AE5C61" w:rsidRPr="00AE5C61">
        <w:rPr>
          <w:rFonts w:asciiTheme="minorHAnsi" w:hAnsiTheme="minorHAnsi"/>
          <w:sz w:val="22"/>
          <w:szCs w:val="20"/>
        </w:rPr>
        <w:t>a 5,74 miliardi di euro (+7% rispetto al 2017</w:t>
      </w:r>
      <w:r w:rsidR="00AE5C61">
        <w:rPr>
          <w:rFonts w:asciiTheme="minorHAnsi" w:hAnsiTheme="minorHAnsi"/>
          <w:sz w:val="22"/>
          <w:szCs w:val="20"/>
        </w:rPr>
        <w:t>). Il</w:t>
      </w:r>
      <w:r w:rsidRPr="00AE5C61">
        <w:rPr>
          <w:rFonts w:asciiTheme="minorHAnsi" w:hAnsiTheme="minorHAnsi"/>
          <w:sz w:val="22"/>
          <w:szCs w:val="20"/>
        </w:rPr>
        <w:t xml:space="preserve"> settore petrolifero </w:t>
      </w:r>
      <w:r w:rsidR="00AE5C61">
        <w:rPr>
          <w:rFonts w:asciiTheme="minorHAnsi" w:hAnsiTheme="minorHAnsi"/>
          <w:sz w:val="22"/>
          <w:szCs w:val="20"/>
        </w:rPr>
        <w:t xml:space="preserve">rappresenta </w:t>
      </w:r>
      <w:r w:rsidR="00CF6037">
        <w:rPr>
          <w:rFonts w:asciiTheme="minorHAnsi" w:hAnsiTheme="minorHAnsi"/>
          <w:sz w:val="22"/>
          <w:szCs w:val="20"/>
        </w:rPr>
        <w:t>l'83</w:t>
      </w:r>
      <w:r w:rsidR="00AE5C61">
        <w:rPr>
          <w:rFonts w:asciiTheme="minorHAnsi" w:hAnsiTheme="minorHAnsi"/>
          <w:sz w:val="22"/>
          <w:szCs w:val="20"/>
        </w:rPr>
        <w:t>% del totale e raggiunge i 4,76 miliardi di euro</w:t>
      </w:r>
      <w:r w:rsidR="004C391D">
        <w:rPr>
          <w:rFonts w:asciiTheme="minorHAnsi" w:hAnsiTheme="minorHAnsi"/>
          <w:sz w:val="22"/>
          <w:szCs w:val="20"/>
        </w:rPr>
        <w:t xml:space="preserve"> (</w:t>
      </w:r>
      <w:r w:rsidR="005F4AE0" w:rsidRPr="00AE5C61">
        <w:rPr>
          <w:rFonts w:asciiTheme="minorHAnsi" w:hAnsiTheme="minorHAnsi"/>
          <w:sz w:val="22"/>
          <w:szCs w:val="20"/>
        </w:rPr>
        <w:t>+</w:t>
      </w:r>
      <w:r w:rsidR="00AE5C61">
        <w:rPr>
          <w:rFonts w:asciiTheme="minorHAnsi" w:hAnsiTheme="minorHAnsi"/>
          <w:sz w:val="22"/>
          <w:szCs w:val="20"/>
        </w:rPr>
        <w:t>8</w:t>
      </w:r>
      <w:r w:rsidR="005F4AE0" w:rsidRPr="00AE5C61">
        <w:rPr>
          <w:rFonts w:asciiTheme="minorHAnsi" w:hAnsiTheme="minorHAnsi"/>
          <w:sz w:val="22"/>
          <w:szCs w:val="20"/>
        </w:rPr>
        <w:t>%</w:t>
      </w:r>
      <w:r w:rsidR="00AE5C61">
        <w:rPr>
          <w:rFonts w:asciiTheme="minorHAnsi" w:hAnsiTheme="minorHAnsi"/>
          <w:sz w:val="22"/>
          <w:szCs w:val="20"/>
        </w:rPr>
        <w:t xml:space="preserve"> su base annua</w:t>
      </w:r>
      <w:r w:rsidR="005F4AE0" w:rsidRPr="00AE5C61">
        <w:rPr>
          <w:rFonts w:asciiTheme="minorHAnsi" w:hAnsiTheme="minorHAnsi"/>
          <w:sz w:val="22"/>
          <w:szCs w:val="20"/>
        </w:rPr>
        <w:t>, spint</w:t>
      </w:r>
      <w:r w:rsidR="004C391D">
        <w:rPr>
          <w:rFonts w:asciiTheme="minorHAnsi" w:hAnsiTheme="minorHAnsi"/>
          <w:sz w:val="22"/>
          <w:szCs w:val="20"/>
        </w:rPr>
        <w:t>o dal fo</w:t>
      </w:r>
      <w:r w:rsidR="004C391D">
        <w:rPr>
          <w:rFonts w:asciiTheme="minorHAnsi" w:hAnsiTheme="minorHAnsi"/>
          <w:sz w:val="22"/>
          <w:szCs w:val="20"/>
        </w:rPr>
        <w:t>r</w:t>
      </w:r>
      <w:r w:rsidR="004C391D">
        <w:rPr>
          <w:rFonts w:asciiTheme="minorHAnsi" w:hAnsiTheme="minorHAnsi"/>
          <w:sz w:val="22"/>
          <w:szCs w:val="20"/>
        </w:rPr>
        <w:t xml:space="preserve">te </w:t>
      </w:r>
      <w:r w:rsidR="005F4AE0" w:rsidRPr="00AE5C61">
        <w:rPr>
          <w:rFonts w:asciiTheme="minorHAnsi" w:hAnsiTheme="minorHAnsi"/>
          <w:sz w:val="22"/>
          <w:szCs w:val="20"/>
        </w:rPr>
        <w:t>aumento del prezzo del petrolio</w:t>
      </w:r>
      <w:r w:rsidR="004C391D">
        <w:rPr>
          <w:rFonts w:asciiTheme="minorHAnsi" w:hAnsiTheme="minorHAnsi"/>
          <w:sz w:val="22"/>
          <w:szCs w:val="20"/>
        </w:rPr>
        <w:t>).</w:t>
      </w:r>
      <w:r w:rsidR="0010568C" w:rsidRPr="00AE5C61">
        <w:rPr>
          <w:rFonts w:asciiTheme="minorHAnsi" w:hAnsiTheme="minorHAnsi"/>
          <w:sz w:val="22"/>
          <w:szCs w:val="20"/>
        </w:rPr>
        <w:t xml:space="preserve"> </w:t>
      </w:r>
      <w:r w:rsidR="004C391D">
        <w:rPr>
          <w:rFonts w:asciiTheme="minorHAnsi" w:hAnsiTheme="minorHAnsi"/>
          <w:sz w:val="22"/>
          <w:szCs w:val="20"/>
        </w:rPr>
        <w:t>P</w:t>
      </w:r>
      <w:r w:rsidR="005F4AE0" w:rsidRPr="00AE5C61">
        <w:rPr>
          <w:rFonts w:asciiTheme="minorHAnsi" w:hAnsiTheme="minorHAnsi"/>
          <w:sz w:val="22"/>
          <w:szCs w:val="20"/>
        </w:rPr>
        <w:t xml:space="preserve">er </w:t>
      </w:r>
      <w:r w:rsidR="0010568C" w:rsidRPr="00AE5C61">
        <w:rPr>
          <w:rFonts w:asciiTheme="minorHAnsi" w:hAnsiTheme="minorHAnsi"/>
          <w:sz w:val="22"/>
          <w:szCs w:val="20"/>
        </w:rPr>
        <w:t xml:space="preserve">il resto </w:t>
      </w:r>
      <w:r w:rsidR="005F4AE0" w:rsidRPr="00AE5C61">
        <w:rPr>
          <w:rFonts w:asciiTheme="minorHAnsi" w:hAnsiTheme="minorHAnsi"/>
          <w:sz w:val="22"/>
          <w:szCs w:val="20"/>
        </w:rPr>
        <w:t>dei settori le vendite all'estero sono pari a 9</w:t>
      </w:r>
      <w:r w:rsidR="004C391D">
        <w:rPr>
          <w:rFonts w:asciiTheme="minorHAnsi" w:hAnsiTheme="minorHAnsi"/>
          <w:sz w:val="22"/>
          <w:szCs w:val="20"/>
        </w:rPr>
        <w:t>75,26</w:t>
      </w:r>
      <w:r w:rsidR="005F4AE0" w:rsidRPr="00AE5C61">
        <w:rPr>
          <w:rFonts w:asciiTheme="minorHAnsi" w:hAnsiTheme="minorHAnsi"/>
          <w:sz w:val="22"/>
          <w:szCs w:val="20"/>
        </w:rPr>
        <w:t xml:space="preserve"> milioni</w:t>
      </w:r>
      <w:r w:rsidR="004C391D">
        <w:rPr>
          <w:rFonts w:asciiTheme="minorHAnsi" w:hAnsiTheme="minorHAnsi"/>
          <w:sz w:val="22"/>
          <w:szCs w:val="20"/>
        </w:rPr>
        <w:t xml:space="preserve">, in lieve crescita </w:t>
      </w:r>
      <w:r w:rsidR="00B77FCA" w:rsidRPr="00AE5C61">
        <w:rPr>
          <w:rFonts w:asciiTheme="minorHAnsi" w:hAnsiTheme="minorHAnsi"/>
          <w:sz w:val="22"/>
          <w:szCs w:val="20"/>
        </w:rPr>
        <w:t>(+</w:t>
      </w:r>
      <w:r w:rsidR="004C391D">
        <w:rPr>
          <w:rFonts w:asciiTheme="minorHAnsi" w:hAnsiTheme="minorHAnsi"/>
          <w:sz w:val="22"/>
          <w:szCs w:val="20"/>
        </w:rPr>
        <w:t>3</w:t>
      </w:r>
      <w:r w:rsidR="005F4AE0" w:rsidRPr="00AE5C61">
        <w:rPr>
          <w:rFonts w:asciiTheme="minorHAnsi" w:hAnsiTheme="minorHAnsi"/>
          <w:sz w:val="22"/>
          <w:szCs w:val="20"/>
        </w:rPr>
        <w:t>%</w:t>
      </w:r>
      <w:r w:rsidR="00B77FCA" w:rsidRPr="00AE5C61">
        <w:rPr>
          <w:rFonts w:asciiTheme="minorHAnsi" w:hAnsiTheme="minorHAnsi"/>
          <w:sz w:val="22"/>
          <w:szCs w:val="20"/>
        </w:rPr>
        <w:t>)</w:t>
      </w:r>
      <w:r w:rsidR="0010568C" w:rsidRPr="00AE5C61">
        <w:rPr>
          <w:rFonts w:asciiTheme="minorHAnsi" w:hAnsiTheme="minorHAnsi"/>
          <w:sz w:val="22"/>
          <w:szCs w:val="20"/>
        </w:rPr>
        <w:t xml:space="preserve">. </w:t>
      </w:r>
      <w:r w:rsidR="00B77FCA" w:rsidRPr="00AE5C61">
        <w:rPr>
          <w:rFonts w:asciiTheme="minorHAnsi" w:hAnsiTheme="minorHAnsi"/>
          <w:sz w:val="22"/>
          <w:szCs w:val="20"/>
        </w:rPr>
        <w:t>Per l</w:t>
      </w:r>
      <w:r w:rsidR="0010568C" w:rsidRPr="00AE5C61">
        <w:rPr>
          <w:rFonts w:asciiTheme="minorHAnsi" w:hAnsiTheme="minorHAnsi"/>
          <w:sz w:val="22"/>
          <w:szCs w:val="20"/>
        </w:rPr>
        <w:t>a</w:t>
      </w:r>
      <w:r w:rsidR="00B77FCA" w:rsidRPr="00AE5C61">
        <w:rPr>
          <w:rFonts w:asciiTheme="minorHAnsi" w:hAnsiTheme="minorHAnsi"/>
          <w:sz w:val="22"/>
          <w:szCs w:val="20"/>
        </w:rPr>
        <w:t xml:space="preserve"> </w:t>
      </w:r>
      <w:r w:rsidR="0010568C" w:rsidRPr="00AE5C61">
        <w:rPr>
          <w:rFonts w:asciiTheme="minorHAnsi" w:hAnsiTheme="minorHAnsi"/>
          <w:sz w:val="22"/>
          <w:szCs w:val="20"/>
        </w:rPr>
        <w:t xml:space="preserve">chimica di base </w:t>
      </w:r>
      <w:r w:rsidR="005F4AE0" w:rsidRPr="00AE5C61">
        <w:rPr>
          <w:rFonts w:asciiTheme="minorHAnsi" w:hAnsiTheme="minorHAnsi"/>
          <w:sz w:val="22"/>
          <w:szCs w:val="20"/>
        </w:rPr>
        <w:t>(fertilizzanti, composti azotati, materie plastiche e gomma sintet</w:t>
      </w:r>
      <w:r w:rsidR="005F4AE0" w:rsidRPr="00AE5C61">
        <w:rPr>
          <w:rFonts w:asciiTheme="minorHAnsi" w:hAnsiTheme="minorHAnsi"/>
          <w:sz w:val="22"/>
          <w:szCs w:val="20"/>
        </w:rPr>
        <w:t>i</w:t>
      </w:r>
      <w:r w:rsidR="005F4AE0" w:rsidRPr="00AE5C61">
        <w:rPr>
          <w:rFonts w:asciiTheme="minorHAnsi" w:hAnsiTheme="minorHAnsi"/>
          <w:sz w:val="22"/>
          <w:szCs w:val="20"/>
        </w:rPr>
        <w:t xml:space="preserve">ca) </w:t>
      </w:r>
      <w:r w:rsidR="00B77FCA" w:rsidRPr="00AE5C61">
        <w:rPr>
          <w:rFonts w:asciiTheme="minorHAnsi" w:hAnsiTheme="minorHAnsi"/>
          <w:sz w:val="22"/>
          <w:szCs w:val="20"/>
        </w:rPr>
        <w:t>le esportazioni superano i 2</w:t>
      </w:r>
      <w:r w:rsidR="004C391D">
        <w:rPr>
          <w:rFonts w:asciiTheme="minorHAnsi" w:hAnsiTheme="minorHAnsi"/>
          <w:sz w:val="22"/>
          <w:szCs w:val="20"/>
        </w:rPr>
        <w:t>74</w:t>
      </w:r>
      <w:r w:rsidR="00B77FCA" w:rsidRPr="00AE5C61">
        <w:rPr>
          <w:rFonts w:asciiTheme="minorHAnsi" w:hAnsiTheme="minorHAnsi"/>
          <w:sz w:val="22"/>
          <w:szCs w:val="20"/>
        </w:rPr>
        <w:t xml:space="preserve"> milioni di euro (+</w:t>
      </w:r>
      <w:r w:rsidR="004C391D">
        <w:rPr>
          <w:rFonts w:asciiTheme="minorHAnsi" w:hAnsiTheme="minorHAnsi"/>
          <w:sz w:val="22"/>
          <w:szCs w:val="20"/>
        </w:rPr>
        <w:t>30% rispetto al 2017</w:t>
      </w:r>
      <w:r w:rsidR="00B77FCA" w:rsidRPr="00AE5C61">
        <w:rPr>
          <w:rFonts w:asciiTheme="minorHAnsi" w:hAnsiTheme="minorHAnsi"/>
          <w:sz w:val="22"/>
          <w:szCs w:val="20"/>
        </w:rPr>
        <w:t>)</w:t>
      </w:r>
      <w:r w:rsidR="004C391D">
        <w:rPr>
          <w:rFonts w:asciiTheme="minorHAnsi" w:hAnsiTheme="minorHAnsi"/>
          <w:sz w:val="22"/>
          <w:szCs w:val="20"/>
        </w:rPr>
        <w:t xml:space="preserve">, le armi e munizioni esportate sono 94,61 milioni (+23%), </w:t>
      </w:r>
      <w:r w:rsidR="00B77FCA" w:rsidRPr="00AE5C61">
        <w:rPr>
          <w:rFonts w:asciiTheme="minorHAnsi" w:hAnsiTheme="minorHAnsi"/>
          <w:sz w:val="22"/>
          <w:szCs w:val="20"/>
        </w:rPr>
        <w:t xml:space="preserve">mentre </w:t>
      </w:r>
      <w:r w:rsidR="0010568C" w:rsidRPr="004C391D">
        <w:rPr>
          <w:rFonts w:asciiTheme="minorHAnsi" w:hAnsiTheme="minorHAnsi"/>
          <w:i/>
          <w:sz w:val="22"/>
          <w:szCs w:val="20"/>
        </w:rPr>
        <w:t>l'</w:t>
      </w:r>
      <w:r w:rsidR="004C391D">
        <w:rPr>
          <w:rFonts w:asciiTheme="minorHAnsi" w:hAnsiTheme="minorHAnsi"/>
          <w:i/>
          <w:sz w:val="22"/>
          <w:szCs w:val="20"/>
        </w:rPr>
        <w:t xml:space="preserve">export </w:t>
      </w:r>
      <w:r w:rsidR="004C391D">
        <w:rPr>
          <w:rFonts w:asciiTheme="minorHAnsi" w:hAnsiTheme="minorHAnsi"/>
          <w:sz w:val="22"/>
          <w:szCs w:val="20"/>
        </w:rPr>
        <w:t>dell'</w:t>
      </w:r>
      <w:r w:rsidR="0010568C" w:rsidRPr="004C391D">
        <w:rPr>
          <w:rFonts w:asciiTheme="minorHAnsi" w:hAnsiTheme="minorHAnsi"/>
          <w:sz w:val="22"/>
          <w:szCs w:val="20"/>
        </w:rPr>
        <w:t>industria</w:t>
      </w:r>
      <w:r w:rsidR="0010568C" w:rsidRPr="00AE5C61">
        <w:rPr>
          <w:rFonts w:asciiTheme="minorHAnsi" w:hAnsiTheme="minorHAnsi"/>
          <w:sz w:val="22"/>
          <w:szCs w:val="20"/>
        </w:rPr>
        <w:t xml:space="preserve"> lattiero-casearia</w:t>
      </w:r>
      <w:r w:rsidR="004C391D">
        <w:rPr>
          <w:rFonts w:asciiTheme="minorHAnsi" w:hAnsiTheme="minorHAnsi"/>
          <w:sz w:val="22"/>
          <w:szCs w:val="20"/>
        </w:rPr>
        <w:t>, in calo per il terzo anno consecutivo,</w:t>
      </w:r>
      <w:r w:rsidR="00B77FCA" w:rsidRPr="00AE5C61">
        <w:rPr>
          <w:rFonts w:asciiTheme="minorHAnsi" w:hAnsiTheme="minorHAnsi"/>
          <w:sz w:val="22"/>
          <w:szCs w:val="20"/>
        </w:rPr>
        <w:t xml:space="preserve"> </w:t>
      </w:r>
      <w:r w:rsidR="004C391D">
        <w:rPr>
          <w:rFonts w:asciiTheme="minorHAnsi" w:hAnsiTheme="minorHAnsi"/>
          <w:sz w:val="22"/>
          <w:szCs w:val="20"/>
        </w:rPr>
        <w:t>è pari a 91,41 milioni di euro (-23% su base annua).</w:t>
      </w:r>
    </w:p>
    <w:p w:rsidR="004134ED" w:rsidRPr="004134ED" w:rsidRDefault="004134ED" w:rsidP="004134ED">
      <w:pPr>
        <w:spacing w:before="240" w:after="0"/>
        <w:outlineLvl w:val="0"/>
        <w:rPr>
          <w:rFonts w:asciiTheme="minorHAnsi" w:hAnsiTheme="minorHAnsi"/>
          <w:b/>
          <w:sz w:val="22"/>
          <w:szCs w:val="20"/>
        </w:rPr>
      </w:pPr>
      <w:r w:rsidRPr="004134ED">
        <w:rPr>
          <w:rFonts w:asciiTheme="minorHAnsi" w:hAnsiTheme="minorHAnsi"/>
          <w:b/>
          <w:sz w:val="22"/>
          <w:szCs w:val="20"/>
        </w:rPr>
        <w:t xml:space="preserve">Segnali incoraggianti per il mercato del lavoro in Sardegna </w:t>
      </w:r>
    </w:p>
    <w:p w:rsidR="003B20F4" w:rsidRDefault="004134ED" w:rsidP="00700912">
      <w:pPr>
        <w:spacing w:after="0"/>
        <w:outlineLvl w:val="0"/>
        <w:rPr>
          <w:rFonts w:asciiTheme="minorHAnsi" w:hAnsiTheme="minorHAnsi"/>
          <w:sz w:val="22"/>
          <w:szCs w:val="20"/>
        </w:rPr>
      </w:pPr>
      <w:r w:rsidRPr="004134ED">
        <w:rPr>
          <w:rFonts w:asciiTheme="minorHAnsi" w:hAnsiTheme="minorHAnsi"/>
          <w:sz w:val="22"/>
          <w:szCs w:val="20"/>
        </w:rPr>
        <w:t>Il 2018 fa registrare un aumento della partecipazione al mercato del lavoro</w:t>
      </w:r>
      <w:r>
        <w:rPr>
          <w:rFonts w:asciiTheme="minorHAnsi" w:hAnsiTheme="minorHAnsi"/>
          <w:sz w:val="22"/>
          <w:szCs w:val="20"/>
        </w:rPr>
        <w:t xml:space="preserve"> </w:t>
      </w:r>
      <w:r w:rsidRPr="004134ED">
        <w:rPr>
          <w:rFonts w:asciiTheme="minorHAnsi" w:hAnsiTheme="minorHAnsi"/>
          <w:sz w:val="22"/>
          <w:szCs w:val="20"/>
        </w:rPr>
        <w:t>rispetto all’anno precedente</w:t>
      </w:r>
      <w:r>
        <w:rPr>
          <w:rFonts w:asciiTheme="minorHAnsi" w:hAnsiTheme="minorHAnsi"/>
          <w:sz w:val="22"/>
          <w:szCs w:val="20"/>
        </w:rPr>
        <w:t>:</w:t>
      </w:r>
      <w:r w:rsidRPr="004134ED">
        <w:rPr>
          <w:rFonts w:asciiTheme="minorHAnsi" w:hAnsiTheme="minorHAnsi"/>
          <w:sz w:val="22"/>
          <w:szCs w:val="20"/>
        </w:rPr>
        <w:t xml:space="preserve"> il </w:t>
      </w:r>
      <w:r w:rsidRPr="00700912">
        <w:rPr>
          <w:rFonts w:asciiTheme="minorHAnsi" w:hAnsiTheme="minorHAnsi"/>
          <w:sz w:val="22"/>
          <w:szCs w:val="20"/>
        </w:rPr>
        <w:t>tasso di attività cresce dell’1,8% e arriva al 47,4%</w:t>
      </w:r>
      <w:r w:rsidR="00655A35" w:rsidRPr="00700912">
        <w:rPr>
          <w:rFonts w:asciiTheme="minorHAnsi" w:hAnsiTheme="minorHAnsi"/>
          <w:sz w:val="22"/>
          <w:szCs w:val="20"/>
        </w:rPr>
        <w:t xml:space="preserve">. Il </w:t>
      </w:r>
      <w:r w:rsidR="00CF6037">
        <w:rPr>
          <w:rFonts w:asciiTheme="minorHAnsi" w:hAnsiTheme="minorHAnsi"/>
          <w:sz w:val="22"/>
          <w:szCs w:val="20"/>
        </w:rPr>
        <w:t>divario</w:t>
      </w:r>
      <w:r w:rsidR="00CF6037" w:rsidRPr="00700912">
        <w:rPr>
          <w:rFonts w:asciiTheme="minorHAnsi" w:hAnsiTheme="minorHAnsi"/>
          <w:sz w:val="22"/>
          <w:szCs w:val="20"/>
        </w:rPr>
        <w:t xml:space="preserve"> </w:t>
      </w:r>
      <w:r w:rsidR="00022EBC" w:rsidRPr="00700912">
        <w:rPr>
          <w:rFonts w:asciiTheme="minorHAnsi" w:hAnsiTheme="minorHAnsi"/>
          <w:sz w:val="22"/>
          <w:szCs w:val="20"/>
        </w:rPr>
        <w:t>di genere</w:t>
      </w:r>
      <w:r w:rsidR="003B20F4" w:rsidRPr="00700912">
        <w:rPr>
          <w:rFonts w:asciiTheme="minorHAnsi" w:hAnsiTheme="minorHAnsi"/>
          <w:sz w:val="22"/>
          <w:szCs w:val="20"/>
        </w:rPr>
        <w:t xml:space="preserve"> </w:t>
      </w:r>
      <w:r w:rsidR="00655A35" w:rsidRPr="00700912">
        <w:rPr>
          <w:rFonts w:asciiTheme="minorHAnsi" w:hAnsiTheme="minorHAnsi"/>
          <w:sz w:val="22"/>
          <w:szCs w:val="20"/>
        </w:rPr>
        <w:t>è ancora elevato</w:t>
      </w:r>
      <w:r w:rsidR="003B20F4" w:rsidRPr="00700912">
        <w:rPr>
          <w:rFonts w:asciiTheme="minorHAnsi" w:hAnsiTheme="minorHAnsi"/>
          <w:sz w:val="22"/>
          <w:szCs w:val="20"/>
        </w:rPr>
        <w:t xml:space="preserve">: </w:t>
      </w:r>
      <w:r w:rsidR="00022EBC" w:rsidRPr="00700912">
        <w:rPr>
          <w:rFonts w:asciiTheme="minorHAnsi" w:hAnsiTheme="minorHAnsi"/>
          <w:sz w:val="22"/>
          <w:szCs w:val="20"/>
        </w:rPr>
        <w:t>solo il 38,8% delle donne partecipa al mercato del lavoro, contro il 56,5% degli uomini</w:t>
      </w:r>
      <w:r w:rsidR="00655A35" w:rsidRPr="00700912">
        <w:rPr>
          <w:rFonts w:asciiTheme="minorHAnsi" w:hAnsiTheme="minorHAnsi"/>
          <w:sz w:val="22"/>
          <w:szCs w:val="20"/>
        </w:rPr>
        <w:t>.</w:t>
      </w:r>
    </w:p>
    <w:p w:rsidR="00A86EAB" w:rsidRDefault="00DB29B8" w:rsidP="00A86EAB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>
        <w:rPr>
          <w:rFonts w:asciiTheme="minorHAnsi" w:hAnsiTheme="minorHAnsi"/>
          <w:sz w:val="22"/>
          <w:szCs w:val="20"/>
        </w:rPr>
        <w:t>Nel 2018 i</w:t>
      </w:r>
      <w:r w:rsidR="00655A35">
        <w:rPr>
          <w:rFonts w:asciiTheme="minorHAnsi" w:hAnsiTheme="minorHAnsi"/>
          <w:sz w:val="22"/>
          <w:szCs w:val="20"/>
        </w:rPr>
        <w:t>l</w:t>
      </w:r>
      <w:r w:rsidR="00655A35" w:rsidRPr="004134ED">
        <w:rPr>
          <w:rFonts w:asciiTheme="minorHAnsi" w:hAnsiTheme="minorHAnsi"/>
          <w:sz w:val="22"/>
          <w:szCs w:val="20"/>
        </w:rPr>
        <w:t xml:space="preserve"> numero degli occupati </w:t>
      </w:r>
      <w:r w:rsidR="00655A35">
        <w:rPr>
          <w:rFonts w:asciiTheme="minorHAnsi" w:hAnsiTheme="minorHAnsi"/>
          <w:sz w:val="22"/>
          <w:szCs w:val="20"/>
        </w:rPr>
        <w:t xml:space="preserve">aumenta di </w:t>
      </w:r>
      <w:r w:rsidR="00655A35" w:rsidRPr="004134ED">
        <w:rPr>
          <w:rFonts w:asciiTheme="minorHAnsi" w:hAnsiTheme="minorHAnsi"/>
          <w:sz w:val="22"/>
          <w:szCs w:val="20"/>
        </w:rPr>
        <w:t xml:space="preserve">20mila </w:t>
      </w:r>
      <w:r w:rsidR="00655A35">
        <w:rPr>
          <w:rFonts w:asciiTheme="minorHAnsi" w:hAnsiTheme="minorHAnsi"/>
          <w:sz w:val="22"/>
          <w:szCs w:val="20"/>
        </w:rPr>
        <w:t>individui</w:t>
      </w:r>
      <w:r>
        <w:rPr>
          <w:rFonts w:asciiTheme="minorHAnsi" w:hAnsiTheme="minorHAnsi"/>
          <w:sz w:val="22"/>
          <w:szCs w:val="20"/>
        </w:rPr>
        <w:t xml:space="preserve"> e il tasso di occupazione arriva al 40,1%, </w:t>
      </w:r>
      <w:r w:rsidR="00655A35" w:rsidRPr="004134ED">
        <w:rPr>
          <w:rFonts w:asciiTheme="minorHAnsi" w:hAnsiTheme="minorHAnsi"/>
          <w:sz w:val="22"/>
          <w:szCs w:val="20"/>
        </w:rPr>
        <w:t>coll</w:t>
      </w:r>
      <w:r w:rsidR="00655A35" w:rsidRPr="004134ED">
        <w:rPr>
          <w:rFonts w:asciiTheme="minorHAnsi" w:hAnsiTheme="minorHAnsi"/>
          <w:sz w:val="22"/>
          <w:szCs w:val="20"/>
        </w:rPr>
        <w:t>o</w:t>
      </w:r>
      <w:r w:rsidR="00655A35" w:rsidRPr="004134ED">
        <w:rPr>
          <w:rFonts w:asciiTheme="minorHAnsi" w:hAnsiTheme="minorHAnsi"/>
          <w:sz w:val="22"/>
          <w:szCs w:val="20"/>
        </w:rPr>
        <w:t>ca</w:t>
      </w:r>
      <w:r>
        <w:rPr>
          <w:rFonts w:asciiTheme="minorHAnsi" w:hAnsiTheme="minorHAnsi"/>
          <w:sz w:val="22"/>
          <w:szCs w:val="20"/>
        </w:rPr>
        <w:t>ndo</w:t>
      </w:r>
      <w:r w:rsidR="00655A35" w:rsidRPr="004134ED">
        <w:rPr>
          <w:rFonts w:asciiTheme="minorHAnsi" w:hAnsiTheme="minorHAnsi"/>
          <w:sz w:val="22"/>
          <w:szCs w:val="20"/>
        </w:rPr>
        <w:t xml:space="preserve"> la Sardegna tra le regioni </w:t>
      </w:r>
      <w:r w:rsidR="00F715F5">
        <w:rPr>
          <w:rFonts w:asciiTheme="minorHAnsi" w:hAnsiTheme="minorHAnsi"/>
          <w:sz w:val="22"/>
          <w:szCs w:val="20"/>
        </w:rPr>
        <w:t>con</w:t>
      </w:r>
      <w:r w:rsidR="00655A35" w:rsidRPr="004134ED">
        <w:rPr>
          <w:rFonts w:asciiTheme="minorHAnsi" w:hAnsiTheme="minorHAnsi"/>
          <w:sz w:val="22"/>
          <w:szCs w:val="20"/>
        </w:rPr>
        <w:t xml:space="preserve"> </w:t>
      </w:r>
      <w:r w:rsidR="00F715F5">
        <w:rPr>
          <w:rFonts w:asciiTheme="minorHAnsi" w:hAnsiTheme="minorHAnsi"/>
          <w:sz w:val="22"/>
          <w:szCs w:val="20"/>
        </w:rPr>
        <w:t>l'</w:t>
      </w:r>
      <w:r w:rsidR="00655A35" w:rsidRPr="004134ED">
        <w:rPr>
          <w:rFonts w:asciiTheme="minorHAnsi" w:hAnsiTheme="minorHAnsi"/>
          <w:sz w:val="22"/>
          <w:szCs w:val="20"/>
        </w:rPr>
        <w:t xml:space="preserve">aumento </w:t>
      </w:r>
      <w:r w:rsidR="00F715F5">
        <w:rPr>
          <w:rFonts w:asciiTheme="minorHAnsi" w:hAnsiTheme="minorHAnsi"/>
          <w:sz w:val="22"/>
          <w:szCs w:val="20"/>
        </w:rPr>
        <w:t xml:space="preserve">più forte </w:t>
      </w:r>
      <w:r w:rsidR="00655A35" w:rsidRPr="004134ED">
        <w:rPr>
          <w:rFonts w:asciiTheme="minorHAnsi" w:hAnsiTheme="minorHAnsi"/>
          <w:sz w:val="22"/>
          <w:szCs w:val="20"/>
        </w:rPr>
        <w:t>(+3,8%, a fronte del +1,1% del Mezzogiorno). Il</w:t>
      </w:r>
      <w:r w:rsidR="00655A35">
        <w:rPr>
          <w:rFonts w:asciiTheme="minorHAnsi" w:hAnsiTheme="minorHAnsi"/>
          <w:sz w:val="22"/>
          <w:szCs w:val="20"/>
        </w:rPr>
        <w:t xml:space="preserve"> </w:t>
      </w:r>
      <w:r w:rsidR="00655A35" w:rsidRPr="004134ED">
        <w:rPr>
          <w:rFonts w:asciiTheme="minorHAnsi" w:hAnsiTheme="minorHAnsi"/>
          <w:sz w:val="22"/>
          <w:szCs w:val="20"/>
        </w:rPr>
        <w:t xml:space="preserve">tasso di occupazione </w:t>
      </w:r>
      <w:r w:rsidR="00F715F5" w:rsidRPr="004134ED">
        <w:rPr>
          <w:rFonts w:asciiTheme="minorHAnsi" w:hAnsiTheme="minorHAnsi"/>
          <w:sz w:val="22"/>
          <w:szCs w:val="20"/>
        </w:rPr>
        <w:t>maschile</w:t>
      </w:r>
      <w:r w:rsidR="00F715F5">
        <w:rPr>
          <w:rFonts w:asciiTheme="minorHAnsi" w:hAnsiTheme="minorHAnsi"/>
          <w:sz w:val="22"/>
          <w:szCs w:val="20"/>
        </w:rPr>
        <w:t xml:space="preserve"> è pari a 47,6% (+1,8% rispetto al 2017), mentre </w:t>
      </w:r>
      <w:r w:rsidR="00655A35" w:rsidRPr="004134ED">
        <w:rPr>
          <w:rFonts w:asciiTheme="minorHAnsi" w:hAnsiTheme="minorHAnsi"/>
          <w:sz w:val="22"/>
          <w:szCs w:val="20"/>
        </w:rPr>
        <w:t xml:space="preserve">l’occupazione femminile </w:t>
      </w:r>
      <w:r w:rsidR="00F715F5">
        <w:rPr>
          <w:rFonts w:asciiTheme="minorHAnsi" w:hAnsiTheme="minorHAnsi"/>
          <w:sz w:val="22"/>
          <w:szCs w:val="20"/>
        </w:rPr>
        <w:t>è pari al 33%, con l'aumento più elevato tra tutte le regioni italiane: +6,7%. T</w:t>
      </w:r>
      <w:r w:rsidR="00655A35" w:rsidRPr="004134ED">
        <w:rPr>
          <w:rFonts w:asciiTheme="minorHAnsi" w:hAnsiTheme="minorHAnsi"/>
          <w:sz w:val="22"/>
          <w:szCs w:val="20"/>
        </w:rPr>
        <w:t xml:space="preserve">re quarti dei 20mila nuovi occupati nel 2018 sono </w:t>
      </w:r>
      <w:r w:rsidR="00F715F5">
        <w:rPr>
          <w:rFonts w:asciiTheme="minorHAnsi" w:hAnsiTheme="minorHAnsi"/>
          <w:sz w:val="22"/>
          <w:szCs w:val="20"/>
        </w:rPr>
        <w:t xml:space="preserve">infatti </w:t>
      </w:r>
      <w:r w:rsidR="00655A35" w:rsidRPr="004134ED">
        <w:rPr>
          <w:rFonts w:asciiTheme="minorHAnsi" w:hAnsiTheme="minorHAnsi"/>
          <w:sz w:val="22"/>
          <w:szCs w:val="20"/>
        </w:rPr>
        <w:t>donne.</w:t>
      </w:r>
      <w:r w:rsidR="00A86EAB">
        <w:rPr>
          <w:rFonts w:asciiTheme="minorHAnsi" w:hAnsiTheme="minorHAnsi"/>
          <w:sz w:val="22"/>
          <w:szCs w:val="20"/>
        </w:rPr>
        <w:t xml:space="preserve"> </w:t>
      </w:r>
      <w:r w:rsidR="004128E8" w:rsidRPr="004134ED">
        <w:rPr>
          <w:rFonts w:asciiTheme="minorHAnsi" w:hAnsiTheme="minorHAnsi"/>
          <w:sz w:val="22"/>
          <w:szCs w:val="20"/>
        </w:rPr>
        <w:t>Positivo anche il dato sui rapporti di lavoro attivati nel 2018</w:t>
      </w:r>
      <w:r w:rsidR="004128E8">
        <w:rPr>
          <w:rFonts w:asciiTheme="minorHAnsi" w:hAnsiTheme="minorHAnsi"/>
          <w:sz w:val="22"/>
          <w:szCs w:val="20"/>
        </w:rPr>
        <w:t xml:space="preserve"> </w:t>
      </w:r>
      <w:r w:rsidR="004128E8" w:rsidRPr="004134ED">
        <w:rPr>
          <w:rFonts w:asciiTheme="minorHAnsi" w:hAnsiTheme="minorHAnsi"/>
          <w:sz w:val="22"/>
          <w:szCs w:val="20"/>
        </w:rPr>
        <w:t xml:space="preserve">(+8,5% sul 2017), con un saldo attivo rispetto a quelli cessati (anch’essi in aumento dell’8,3%), e che supera le 10mila unità. </w:t>
      </w:r>
      <w:r w:rsidR="00A86EAB">
        <w:rPr>
          <w:rFonts w:asciiTheme="minorHAnsi" w:hAnsiTheme="minorHAnsi"/>
          <w:sz w:val="22"/>
          <w:szCs w:val="20"/>
        </w:rPr>
        <w:t>Si tratta però di un quadro con alcune ombre: l</w:t>
      </w:r>
      <w:r w:rsidR="00A86EAB" w:rsidRPr="004134ED">
        <w:rPr>
          <w:rFonts w:asciiTheme="minorHAnsi" w:hAnsiTheme="minorHAnsi"/>
          <w:sz w:val="22"/>
          <w:szCs w:val="20"/>
        </w:rPr>
        <w:t xml:space="preserve">’84% dei nuovi occupati </w:t>
      </w:r>
      <w:r w:rsidR="00A86EAB">
        <w:rPr>
          <w:rFonts w:asciiTheme="minorHAnsi" w:hAnsiTheme="minorHAnsi"/>
          <w:sz w:val="22"/>
          <w:szCs w:val="20"/>
        </w:rPr>
        <w:t xml:space="preserve">ha </w:t>
      </w:r>
      <w:r w:rsidR="00A86EAB" w:rsidRPr="004134ED">
        <w:rPr>
          <w:rFonts w:asciiTheme="minorHAnsi" w:hAnsiTheme="minorHAnsi"/>
          <w:sz w:val="22"/>
          <w:szCs w:val="20"/>
        </w:rPr>
        <w:t>contratti di lavoro dipendente a tempo d</w:t>
      </w:r>
      <w:r w:rsidR="00A86EAB" w:rsidRPr="004134ED">
        <w:rPr>
          <w:rFonts w:asciiTheme="minorHAnsi" w:hAnsiTheme="minorHAnsi"/>
          <w:sz w:val="22"/>
          <w:szCs w:val="20"/>
        </w:rPr>
        <w:t>e</w:t>
      </w:r>
      <w:r w:rsidR="00A86EAB" w:rsidRPr="004134ED">
        <w:rPr>
          <w:rFonts w:asciiTheme="minorHAnsi" w:hAnsiTheme="minorHAnsi"/>
          <w:sz w:val="22"/>
          <w:szCs w:val="20"/>
        </w:rPr>
        <w:t>terminato mentre sono ferme le assunzioni a tempo indeterminato. Inoltre</w:t>
      </w:r>
      <w:r w:rsidR="00A86EAB">
        <w:rPr>
          <w:rFonts w:asciiTheme="minorHAnsi" w:hAnsiTheme="minorHAnsi"/>
          <w:sz w:val="22"/>
          <w:szCs w:val="20"/>
        </w:rPr>
        <w:t xml:space="preserve"> </w:t>
      </w:r>
      <w:r w:rsidR="00A86EAB" w:rsidRPr="004134ED">
        <w:rPr>
          <w:rFonts w:asciiTheme="minorHAnsi" w:hAnsiTheme="minorHAnsi"/>
          <w:sz w:val="22"/>
          <w:szCs w:val="20"/>
        </w:rPr>
        <w:t xml:space="preserve">i contratti a tempo parziale </w:t>
      </w:r>
      <w:r w:rsidR="00A86EAB">
        <w:rPr>
          <w:rFonts w:asciiTheme="minorHAnsi" w:hAnsiTheme="minorHAnsi"/>
          <w:sz w:val="22"/>
          <w:szCs w:val="20"/>
        </w:rPr>
        <w:t>(+</w:t>
      </w:r>
      <w:r w:rsidR="00A86EAB" w:rsidRPr="004134ED">
        <w:rPr>
          <w:rFonts w:asciiTheme="minorHAnsi" w:hAnsiTheme="minorHAnsi"/>
          <w:sz w:val="22"/>
          <w:szCs w:val="20"/>
        </w:rPr>
        <w:t>11,6%</w:t>
      </w:r>
      <w:r w:rsidR="00A86EAB">
        <w:rPr>
          <w:rFonts w:asciiTheme="minorHAnsi" w:hAnsiTheme="minorHAnsi"/>
          <w:sz w:val="22"/>
          <w:szCs w:val="20"/>
        </w:rPr>
        <w:t>)</w:t>
      </w:r>
      <w:r w:rsidR="00A86EAB" w:rsidRPr="004134ED">
        <w:rPr>
          <w:rFonts w:asciiTheme="minorHAnsi" w:hAnsiTheme="minorHAnsi"/>
          <w:sz w:val="22"/>
          <w:szCs w:val="20"/>
        </w:rPr>
        <w:t xml:space="preserve"> aumentano più di quelli a tempo pieno (+1,7%). Tra le donne, oltre il 70% de</w:t>
      </w:r>
      <w:r w:rsidR="00A86EAB">
        <w:rPr>
          <w:rFonts w:asciiTheme="minorHAnsi" w:hAnsiTheme="minorHAnsi"/>
          <w:sz w:val="22"/>
          <w:szCs w:val="20"/>
        </w:rPr>
        <w:t xml:space="preserve">lle nuove occupate </w:t>
      </w:r>
      <w:r w:rsidR="00A86EAB" w:rsidRPr="004134ED">
        <w:rPr>
          <w:rFonts w:asciiTheme="minorHAnsi" w:hAnsiTheme="minorHAnsi"/>
          <w:sz w:val="22"/>
          <w:szCs w:val="20"/>
        </w:rPr>
        <w:t xml:space="preserve">ha un contratto di lavoro </w:t>
      </w:r>
      <w:r w:rsidR="00A86EAB" w:rsidRPr="00A86EAB">
        <w:rPr>
          <w:rFonts w:asciiTheme="minorHAnsi" w:hAnsiTheme="minorHAnsi"/>
          <w:i/>
          <w:sz w:val="22"/>
          <w:szCs w:val="20"/>
        </w:rPr>
        <w:t>part-time</w:t>
      </w:r>
      <w:r w:rsidR="00A86EAB" w:rsidRPr="004134ED">
        <w:rPr>
          <w:rFonts w:asciiTheme="minorHAnsi" w:hAnsiTheme="minorHAnsi"/>
          <w:sz w:val="22"/>
          <w:szCs w:val="20"/>
        </w:rPr>
        <w:t xml:space="preserve">. Infine, mentre tra gli uomini l’aumento più forte del tasso di occupazione, tra il 2017 e il 2018, si registra tra chi è in possesso di una laurea o un titolo superiore (+5,7%), tra le donne cresce soprattutto tra chi ha un diploma (+10,7%) o un titolo </w:t>
      </w:r>
      <w:proofErr w:type="spellStart"/>
      <w:r w:rsidR="00A86EAB" w:rsidRPr="004134ED">
        <w:rPr>
          <w:rFonts w:asciiTheme="minorHAnsi" w:hAnsiTheme="minorHAnsi"/>
          <w:sz w:val="22"/>
          <w:szCs w:val="20"/>
        </w:rPr>
        <w:t>medio-basso</w:t>
      </w:r>
      <w:proofErr w:type="spellEnd"/>
      <w:r w:rsidR="00A86EAB" w:rsidRPr="004134ED">
        <w:rPr>
          <w:rFonts w:asciiTheme="minorHAnsi" w:hAnsiTheme="minorHAnsi"/>
          <w:sz w:val="22"/>
          <w:szCs w:val="20"/>
        </w:rPr>
        <w:t xml:space="preserve"> (+6,6%).</w:t>
      </w:r>
    </w:p>
    <w:p w:rsidR="00655A35" w:rsidRPr="004134ED" w:rsidRDefault="00655A35" w:rsidP="00655A35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 w:rsidRPr="004134ED">
        <w:rPr>
          <w:rFonts w:asciiTheme="minorHAnsi" w:hAnsiTheme="minorHAnsi"/>
          <w:sz w:val="22"/>
          <w:szCs w:val="20"/>
        </w:rPr>
        <w:t>La ripresa dell’occupazione è trainata dal settore alberghiero e del commercio, che impiega nel 2018 quasi un quarto degli occupati. Gli occupati nel settore legato alla ricettività turistica crescono infatti del 12,8% rispetto all’anno precedente</w:t>
      </w:r>
      <w:r w:rsidRPr="00F715F5">
        <w:rPr>
          <w:rFonts w:asciiTheme="minorHAnsi" w:hAnsiTheme="minorHAnsi"/>
          <w:sz w:val="22"/>
          <w:szCs w:val="20"/>
        </w:rPr>
        <w:t>.</w:t>
      </w:r>
      <w:r w:rsidRPr="004134ED">
        <w:rPr>
          <w:rFonts w:asciiTheme="minorHAnsi" w:hAnsiTheme="minorHAnsi"/>
          <w:sz w:val="22"/>
          <w:szCs w:val="20"/>
        </w:rPr>
        <w:t xml:space="preserve"> </w:t>
      </w:r>
    </w:p>
    <w:p w:rsidR="004134ED" w:rsidRPr="004134ED" w:rsidRDefault="004134ED" w:rsidP="009972B2">
      <w:pPr>
        <w:spacing w:before="120" w:after="0"/>
        <w:outlineLvl w:val="0"/>
        <w:rPr>
          <w:rFonts w:asciiTheme="minorHAnsi" w:hAnsiTheme="minorHAnsi"/>
          <w:sz w:val="22"/>
          <w:szCs w:val="20"/>
        </w:rPr>
      </w:pPr>
      <w:r w:rsidRPr="004134ED">
        <w:rPr>
          <w:rFonts w:asciiTheme="minorHAnsi" w:hAnsiTheme="minorHAnsi"/>
          <w:sz w:val="22"/>
          <w:szCs w:val="20"/>
        </w:rPr>
        <w:lastRenderedPageBreak/>
        <w:t>La disoccupazione</w:t>
      </w:r>
      <w:r>
        <w:rPr>
          <w:rFonts w:asciiTheme="minorHAnsi" w:hAnsiTheme="minorHAnsi"/>
          <w:sz w:val="22"/>
          <w:szCs w:val="20"/>
        </w:rPr>
        <w:t xml:space="preserve"> è</w:t>
      </w:r>
      <w:r w:rsidRPr="004134ED">
        <w:rPr>
          <w:rFonts w:asciiTheme="minorHAnsi" w:hAnsiTheme="minorHAnsi"/>
          <w:sz w:val="22"/>
          <w:szCs w:val="20"/>
        </w:rPr>
        <w:t xml:space="preserve"> in calo per il quarto anno consecutivo</w:t>
      </w:r>
      <w:r>
        <w:rPr>
          <w:rFonts w:asciiTheme="minorHAnsi" w:hAnsiTheme="minorHAnsi"/>
          <w:sz w:val="22"/>
          <w:szCs w:val="20"/>
        </w:rPr>
        <w:t xml:space="preserve">, nel 2018 si </w:t>
      </w:r>
      <w:r w:rsidRPr="004134ED">
        <w:rPr>
          <w:rFonts w:asciiTheme="minorHAnsi" w:hAnsiTheme="minorHAnsi"/>
          <w:sz w:val="22"/>
          <w:szCs w:val="20"/>
        </w:rPr>
        <w:t>attesta al 15,4%</w:t>
      </w:r>
      <w:r w:rsidR="00CF6037">
        <w:rPr>
          <w:rFonts w:asciiTheme="minorHAnsi" w:hAnsiTheme="minorHAnsi"/>
          <w:sz w:val="22"/>
          <w:szCs w:val="20"/>
        </w:rPr>
        <w:t>, riducendosi rispetto al 17% dell'anno precedente</w:t>
      </w:r>
      <w:r w:rsidRPr="004134ED">
        <w:rPr>
          <w:rFonts w:asciiTheme="minorHAnsi" w:hAnsiTheme="minorHAnsi"/>
          <w:sz w:val="22"/>
          <w:szCs w:val="20"/>
        </w:rPr>
        <w:t xml:space="preserve">. </w:t>
      </w:r>
      <w:r w:rsidR="00436EDB">
        <w:rPr>
          <w:rFonts w:asciiTheme="minorHAnsi" w:hAnsiTheme="minorHAnsi"/>
          <w:sz w:val="22"/>
          <w:szCs w:val="20"/>
        </w:rPr>
        <w:t>C</w:t>
      </w:r>
      <w:r w:rsidRPr="004134ED">
        <w:rPr>
          <w:rFonts w:asciiTheme="minorHAnsi" w:hAnsiTheme="minorHAnsi"/>
          <w:sz w:val="22"/>
          <w:szCs w:val="20"/>
        </w:rPr>
        <w:t>ambia la composizione dei disoccupati</w:t>
      </w:r>
      <w:r w:rsidR="00436EDB">
        <w:rPr>
          <w:rFonts w:asciiTheme="minorHAnsi" w:hAnsiTheme="minorHAnsi"/>
          <w:sz w:val="22"/>
          <w:szCs w:val="20"/>
        </w:rPr>
        <w:t xml:space="preserve">: </w:t>
      </w:r>
      <w:r w:rsidR="00436EDB" w:rsidRPr="004134ED">
        <w:rPr>
          <w:rFonts w:asciiTheme="minorHAnsi" w:hAnsiTheme="minorHAnsi"/>
          <w:sz w:val="22"/>
          <w:szCs w:val="20"/>
        </w:rPr>
        <w:t>nel 2018</w:t>
      </w:r>
      <w:r w:rsidR="00436EDB">
        <w:rPr>
          <w:rFonts w:asciiTheme="minorHAnsi" w:hAnsiTheme="minorHAnsi"/>
          <w:sz w:val="22"/>
          <w:szCs w:val="20"/>
        </w:rPr>
        <w:t xml:space="preserve"> </w:t>
      </w:r>
      <w:r w:rsidRPr="004134ED">
        <w:rPr>
          <w:rFonts w:asciiTheme="minorHAnsi" w:hAnsiTheme="minorHAnsi"/>
          <w:sz w:val="22"/>
          <w:szCs w:val="20"/>
        </w:rPr>
        <w:t xml:space="preserve">la percentuale di donne </w:t>
      </w:r>
      <w:r w:rsidR="00436EDB">
        <w:rPr>
          <w:rFonts w:asciiTheme="minorHAnsi" w:hAnsiTheme="minorHAnsi"/>
          <w:sz w:val="22"/>
          <w:szCs w:val="20"/>
        </w:rPr>
        <w:t xml:space="preserve">si riduce al </w:t>
      </w:r>
      <w:r w:rsidRPr="004134ED">
        <w:rPr>
          <w:rFonts w:asciiTheme="minorHAnsi" w:hAnsiTheme="minorHAnsi"/>
          <w:sz w:val="22"/>
          <w:szCs w:val="20"/>
        </w:rPr>
        <w:t>41%</w:t>
      </w:r>
      <w:r w:rsidR="00436EDB">
        <w:rPr>
          <w:rFonts w:asciiTheme="minorHAnsi" w:hAnsiTheme="minorHAnsi"/>
          <w:sz w:val="22"/>
          <w:szCs w:val="20"/>
        </w:rPr>
        <w:t>,</w:t>
      </w:r>
      <w:r w:rsidRPr="004134ED">
        <w:rPr>
          <w:rFonts w:asciiTheme="minorHAnsi" w:hAnsiTheme="minorHAnsi"/>
          <w:sz w:val="22"/>
          <w:szCs w:val="20"/>
        </w:rPr>
        <w:t xml:space="preserve"> </w:t>
      </w:r>
      <w:r w:rsidR="00436EDB">
        <w:rPr>
          <w:rFonts w:asciiTheme="minorHAnsi" w:hAnsiTheme="minorHAnsi"/>
          <w:sz w:val="22"/>
          <w:szCs w:val="20"/>
        </w:rPr>
        <w:t xml:space="preserve">mentre dieci anni prima </w:t>
      </w:r>
      <w:r w:rsidRPr="004134ED">
        <w:rPr>
          <w:rFonts w:asciiTheme="minorHAnsi" w:hAnsiTheme="minorHAnsi"/>
          <w:sz w:val="22"/>
          <w:szCs w:val="20"/>
        </w:rPr>
        <w:t>si registrava un sostanziale equilibrio di genere. Aumenta anche l’età media</w:t>
      </w:r>
      <w:r w:rsidR="00436EDB">
        <w:rPr>
          <w:rFonts w:asciiTheme="minorHAnsi" w:hAnsiTheme="minorHAnsi"/>
          <w:sz w:val="22"/>
          <w:szCs w:val="20"/>
        </w:rPr>
        <w:t>:</w:t>
      </w:r>
      <w:r w:rsidRPr="004134ED">
        <w:rPr>
          <w:rFonts w:asciiTheme="minorHAnsi" w:hAnsiTheme="minorHAnsi"/>
          <w:sz w:val="22"/>
          <w:szCs w:val="20"/>
        </w:rPr>
        <w:t xml:space="preserve"> nel 2009 </w:t>
      </w:r>
      <w:r w:rsidR="00436EDB">
        <w:rPr>
          <w:rFonts w:asciiTheme="minorHAnsi" w:hAnsiTheme="minorHAnsi"/>
          <w:sz w:val="22"/>
          <w:szCs w:val="20"/>
        </w:rPr>
        <w:t xml:space="preserve">in Sardegna i disoccupati </w:t>
      </w:r>
      <w:r w:rsidRPr="004134ED">
        <w:rPr>
          <w:rFonts w:asciiTheme="minorHAnsi" w:hAnsiTheme="minorHAnsi"/>
          <w:sz w:val="22"/>
          <w:szCs w:val="20"/>
        </w:rPr>
        <w:t>dai 35 ai 64 anni</w:t>
      </w:r>
      <w:r w:rsidR="00436EDB">
        <w:rPr>
          <w:rFonts w:asciiTheme="minorHAnsi" w:hAnsiTheme="minorHAnsi"/>
          <w:sz w:val="22"/>
          <w:szCs w:val="20"/>
        </w:rPr>
        <w:t xml:space="preserve"> erano </w:t>
      </w:r>
      <w:r w:rsidR="00436EDB" w:rsidRPr="004134ED">
        <w:rPr>
          <w:rFonts w:asciiTheme="minorHAnsi" w:hAnsiTheme="minorHAnsi"/>
          <w:sz w:val="22"/>
          <w:szCs w:val="20"/>
        </w:rPr>
        <w:t>il 42,4%</w:t>
      </w:r>
      <w:r w:rsidR="00436EDB">
        <w:rPr>
          <w:rFonts w:asciiTheme="minorHAnsi" w:hAnsiTheme="minorHAnsi"/>
          <w:sz w:val="22"/>
          <w:szCs w:val="20"/>
        </w:rPr>
        <w:t>,</w:t>
      </w:r>
      <w:r w:rsidR="00436EDB" w:rsidRPr="004134ED">
        <w:rPr>
          <w:rFonts w:asciiTheme="minorHAnsi" w:hAnsiTheme="minorHAnsi"/>
          <w:sz w:val="22"/>
          <w:szCs w:val="20"/>
        </w:rPr>
        <w:t xml:space="preserve"> nel 2018</w:t>
      </w:r>
      <w:r w:rsidR="00436EDB">
        <w:rPr>
          <w:rFonts w:asciiTheme="minorHAnsi" w:hAnsiTheme="minorHAnsi"/>
          <w:sz w:val="22"/>
          <w:szCs w:val="20"/>
        </w:rPr>
        <w:t xml:space="preserve"> la loro </w:t>
      </w:r>
      <w:r w:rsidRPr="004134ED">
        <w:rPr>
          <w:rFonts w:asciiTheme="minorHAnsi" w:hAnsiTheme="minorHAnsi"/>
          <w:sz w:val="22"/>
          <w:szCs w:val="20"/>
        </w:rPr>
        <w:t>percentuale sfiora il 60%. Si tratta di un trend comune anche al resto d’Italia, dove la quota dei disoccupati con 35 anni o più aumenta di oltre nove punti in dieci anni.</w:t>
      </w:r>
    </w:p>
    <w:p w:rsidR="00154C15" w:rsidRPr="00F256C8" w:rsidRDefault="00DB0A17" w:rsidP="004134ED">
      <w:pPr>
        <w:spacing w:before="240" w:after="0"/>
        <w:outlineLv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0"/>
        </w:rPr>
        <w:t>S</w:t>
      </w:r>
      <w:r w:rsidR="0021731A">
        <w:rPr>
          <w:rFonts w:asciiTheme="minorHAnsi" w:hAnsiTheme="minorHAnsi"/>
          <w:b/>
          <w:sz w:val="22"/>
          <w:szCs w:val="20"/>
        </w:rPr>
        <w:t>ervizi</w:t>
      </w:r>
      <w:r w:rsidR="00D82C67">
        <w:rPr>
          <w:rFonts w:asciiTheme="minorHAnsi" w:hAnsiTheme="minorHAnsi"/>
          <w:b/>
          <w:sz w:val="22"/>
          <w:szCs w:val="20"/>
        </w:rPr>
        <w:t xml:space="preserve"> pubblici</w:t>
      </w:r>
      <w:r w:rsidR="0021731A">
        <w:rPr>
          <w:rFonts w:asciiTheme="minorHAnsi" w:hAnsiTheme="minorHAnsi"/>
          <w:b/>
          <w:sz w:val="22"/>
          <w:szCs w:val="20"/>
        </w:rPr>
        <w:t>: s</w:t>
      </w:r>
      <w:r w:rsidR="00154C15">
        <w:rPr>
          <w:rFonts w:asciiTheme="minorHAnsi" w:hAnsiTheme="minorHAnsi"/>
          <w:b/>
          <w:sz w:val="22"/>
          <w:szCs w:val="20"/>
        </w:rPr>
        <w:t xml:space="preserve">pesa sanitaria in lieve riduzione, </w:t>
      </w:r>
      <w:r w:rsidR="0021731A">
        <w:rPr>
          <w:rFonts w:asciiTheme="minorHAnsi" w:hAnsiTheme="minorHAnsi"/>
          <w:b/>
          <w:sz w:val="22"/>
          <w:szCs w:val="20"/>
        </w:rPr>
        <w:t>buona</w:t>
      </w:r>
      <w:r w:rsidR="00154C15">
        <w:rPr>
          <w:rFonts w:asciiTheme="minorHAnsi" w:hAnsiTheme="minorHAnsi"/>
          <w:b/>
          <w:sz w:val="22"/>
          <w:szCs w:val="20"/>
        </w:rPr>
        <w:t xml:space="preserve"> gestione dei rifiuti e del trasporto cittadino</w:t>
      </w:r>
    </w:p>
    <w:p w:rsidR="00154C15" w:rsidRDefault="0078456B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>
        <w:rPr>
          <w:rFonts w:ascii="Calibri" w:hAnsi="Calibri"/>
          <w:color w:val="000000"/>
          <w:sz w:val="22"/>
          <w:szCs w:val="20"/>
        </w:rPr>
        <w:t>P</w:t>
      </w:r>
      <w:r w:rsidR="00154C15">
        <w:rPr>
          <w:rFonts w:ascii="Calibri" w:hAnsi="Calibri"/>
          <w:color w:val="000000"/>
          <w:sz w:val="22"/>
          <w:szCs w:val="20"/>
        </w:rPr>
        <w:t>er</w:t>
      </w:r>
      <w:r>
        <w:rPr>
          <w:rFonts w:ascii="Calibri" w:hAnsi="Calibri"/>
          <w:color w:val="000000"/>
          <w:sz w:val="22"/>
          <w:szCs w:val="20"/>
        </w:rPr>
        <w:t xml:space="preserve"> </w:t>
      </w:r>
      <w:r w:rsidR="00154C15">
        <w:rPr>
          <w:rFonts w:ascii="Calibri" w:hAnsi="Calibri"/>
          <w:color w:val="000000"/>
          <w:sz w:val="22"/>
          <w:szCs w:val="20"/>
        </w:rPr>
        <w:t xml:space="preserve">la prima volta dal 2013 la spesa </w:t>
      </w:r>
      <w:r>
        <w:rPr>
          <w:rFonts w:ascii="Calibri" w:hAnsi="Calibri"/>
          <w:color w:val="000000"/>
          <w:sz w:val="22"/>
          <w:szCs w:val="20"/>
        </w:rPr>
        <w:t xml:space="preserve">sanitaria in Sardegna </w:t>
      </w:r>
      <w:r w:rsidR="00154C15">
        <w:rPr>
          <w:rFonts w:ascii="Calibri" w:hAnsi="Calibri"/>
          <w:color w:val="000000"/>
          <w:sz w:val="22"/>
          <w:szCs w:val="20"/>
        </w:rPr>
        <w:t>si riduce lievemente passando dai 3,28 miliardi di e</w:t>
      </w:r>
      <w:r w:rsidR="00154C15">
        <w:rPr>
          <w:rFonts w:ascii="Calibri" w:hAnsi="Calibri"/>
          <w:color w:val="000000"/>
          <w:sz w:val="22"/>
          <w:szCs w:val="20"/>
        </w:rPr>
        <w:t>u</w:t>
      </w:r>
      <w:r w:rsidR="00154C15">
        <w:rPr>
          <w:rFonts w:ascii="Calibri" w:hAnsi="Calibri"/>
          <w:color w:val="000000"/>
          <w:sz w:val="22"/>
          <w:szCs w:val="20"/>
        </w:rPr>
        <w:t>ro del 2016 ai 3,27 miliardi del 2017. La spesa sanitaria è pari a 1.981 euro</w:t>
      </w:r>
      <w:r w:rsidR="0021731A">
        <w:rPr>
          <w:rFonts w:ascii="Calibri" w:hAnsi="Calibri"/>
          <w:color w:val="000000"/>
          <w:sz w:val="22"/>
          <w:szCs w:val="20"/>
        </w:rPr>
        <w:t xml:space="preserve"> per abitante</w:t>
      </w:r>
      <w:r w:rsidR="00154C15">
        <w:rPr>
          <w:rFonts w:ascii="Calibri" w:hAnsi="Calibri"/>
          <w:color w:val="000000"/>
          <w:sz w:val="22"/>
          <w:szCs w:val="20"/>
        </w:rPr>
        <w:t xml:space="preserve">, in riduzione del -0,7% rispetto al 2016, </w:t>
      </w:r>
      <w:r w:rsidR="0021731A">
        <w:rPr>
          <w:rFonts w:ascii="Calibri" w:hAnsi="Calibri"/>
          <w:color w:val="000000"/>
          <w:sz w:val="22"/>
          <w:szCs w:val="20"/>
        </w:rPr>
        <w:t>ma</w:t>
      </w:r>
      <w:r w:rsidR="00154C15">
        <w:rPr>
          <w:rFonts w:ascii="Calibri" w:hAnsi="Calibri"/>
          <w:color w:val="000000"/>
          <w:sz w:val="22"/>
          <w:szCs w:val="20"/>
        </w:rPr>
        <w:t xml:space="preserve"> </w:t>
      </w:r>
      <w:r w:rsidR="00363BF8">
        <w:rPr>
          <w:rFonts w:ascii="Calibri" w:hAnsi="Calibri"/>
          <w:color w:val="000000"/>
          <w:sz w:val="22"/>
          <w:szCs w:val="20"/>
        </w:rPr>
        <w:t xml:space="preserve">sempre </w:t>
      </w:r>
      <w:r w:rsidR="00154C15">
        <w:rPr>
          <w:rFonts w:ascii="Calibri" w:hAnsi="Calibri"/>
          <w:color w:val="000000"/>
          <w:sz w:val="22"/>
          <w:szCs w:val="20"/>
        </w:rPr>
        <w:t xml:space="preserve">superiore rispetto a quella </w:t>
      </w:r>
      <w:r w:rsidR="0021731A">
        <w:rPr>
          <w:rFonts w:ascii="Calibri" w:hAnsi="Calibri"/>
          <w:color w:val="000000"/>
          <w:sz w:val="22"/>
          <w:szCs w:val="20"/>
        </w:rPr>
        <w:t>di Mezzogiorn</w:t>
      </w:r>
      <w:r w:rsidR="0021731A" w:rsidRPr="0078456B">
        <w:rPr>
          <w:rFonts w:ascii="Calibri" w:hAnsi="Calibri"/>
          <w:color w:val="000000"/>
          <w:sz w:val="22"/>
          <w:szCs w:val="20"/>
        </w:rPr>
        <w:t xml:space="preserve">o </w:t>
      </w:r>
      <w:r w:rsidRPr="0078456B">
        <w:rPr>
          <w:rFonts w:ascii="Calibri" w:hAnsi="Calibri"/>
          <w:color w:val="000000"/>
          <w:sz w:val="22"/>
          <w:szCs w:val="20"/>
        </w:rPr>
        <w:t xml:space="preserve">(1.789) </w:t>
      </w:r>
      <w:r w:rsidR="0021731A" w:rsidRPr="0078456B">
        <w:rPr>
          <w:rFonts w:ascii="Calibri" w:hAnsi="Calibri"/>
          <w:color w:val="000000"/>
          <w:sz w:val="22"/>
          <w:szCs w:val="20"/>
        </w:rPr>
        <w:t>e Centro-Nord</w:t>
      </w:r>
      <w:r w:rsidRPr="0078456B">
        <w:rPr>
          <w:rFonts w:ascii="Calibri" w:hAnsi="Calibri"/>
          <w:color w:val="000000"/>
          <w:sz w:val="22"/>
          <w:szCs w:val="20"/>
        </w:rPr>
        <w:t xml:space="preserve"> (1.936)</w:t>
      </w:r>
      <w:r w:rsidR="00154C15" w:rsidRPr="0078456B">
        <w:rPr>
          <w:rFonts w:ascii="Calibri" w:hAnsi="Calibri"/>
          <w:color w:val="000000"/>
          <w:sz w:val="22"/>
          <w:szCs w:val="20"/>
        </w:rPr>
        <w:t>.</w:t>
      </w:r>
      <w:r w:rsidR="00154C15">
        <w:rPr>
          <w:rFonts w:ascii="Calibri" w:hAnsi="Calibri"/>
          <w:color w:val="000000"/>
          <w:sz w:val="22"/>
          <w:szCs w:val="20"/>
        </w:rPr>
        <w:t xml:space="preserve"> Le componenti che hanno contribuito maggiormente alla riduzione dell’ultimo anno sono la spesa farmaceutica (-3,3%) e la spesa per prestazioni da privato (-0,93%). Se si incrociano questi dati con i dati relativi all’erogazione </w:t>
      </w:r>
      <w:r w:rsidR="00D82C67">
        <w:rPr>
          <w:rFonts w:ascii="Calibri" w:hAnsi="Calibri"/>
          <w:color w:val="000000"/>
          <w:sz w:val="22"/>
          <w:szCs w:val="20"/>
        </w:rPr>
        <w:t>de</w:t>
      </w:r>
      <w:r>
        <w:rPr>
          <w:rFonts w:ascii="Calibri" w:hAnsi="Calibri"/>
          <w:color w:val="000000"/>
          <w:sz w:val="22"/>
          <w:szCs w:val="20"/>
        </w:rPr>
        <w:t xml:space="preserve">i Livelli Essenziali di Assistenza </w:t>
      </w:r>
      <w:r w:rsidR="00D82C67">
        <w:rPr>
          <w:rFonts w:ascii="Calibri" w:hAnsi="Calibri"/>
          <w:color w:val="000000"/>
          <w:sz w:val="22"/>
          <w:szCs w:val="20"/>
        </w:rPr>
        <w:t>(LEA)</w:t>
      </w:r>
      <w:r w:rsidR="00154C15">
        <w:rPr>
          <w:rFonts w:ascii="Calibri" w:hAnsi="Calibri"/>
          <w:color w:val="000000"/>
          <w:sz w:val="22"/>
          <w:szCs w:val="20"/>
        </w:rPr>
        <w:t xml:space="preserve"> tuttavia, emerge una gestione complessivamente ineff</w:t>
      </w:r>
      <w:r w:rsidR="00154C15">
        <w:rPr>
          <w:rFonts w:ascii="Calibri" w:hAnsi="Calibri"/>
          <w:color w:val="000000"/>
          <w:sz w:val="22"/>
          <w:szCs w:val="20"/>
        </w:rPr>
        <w:t>i</w:t>
      </w:r>
      <w:r w:rsidR="00154C15">
        <w:rPr>
          <w:rFonts w:ascii="Calibri" w:hAnsi="Calibri"/>
          <w:color w:val="000000"/>
          <w:sz w:val="22"/>
          <w:szCs w:val="20"/>
        </w:rPr>
        <w:t xml:space="preserve">ciente delle risorse: </w:t>
      </w:r>
      <w:r w:rsidRPr="0078456B">
        <w:rPr>
          <w:rFonts w:ascii="Calibri" w:hAnsi="Calibri"/>
          <w:color w:val="000000"/>
          <w:sz w:val="22"/>
          <w:szCs w:val="20"/>
        </w:rPr>
        <w:t xml:space="preserve">il </w:t>
      </w:r>
      <w:r w:rsidR="00154C15" w:rsidRPr="0078456B">
        <w:rPr>
          <w:rFonts w:ascii="Calibri" w:hAnsi="Calibri"/>
          <w:color w:val="000000"/>
          <w:sz w:val="22"/>
          <w:szCs w:val="20"/>
        </w:rPr>
        <w:t>S</w:t>
      </w:r>
      <w:r w:rsidRPr="0078456B">
        <w:rPr>
          <w:rFonts w:ascii="Calibri" w:hAnsi="Calibri"/>
          <w:color w:val="000000"/>
          <w:sz w:val="22"/>
          <w:szCs w:val="20"/>
        </w:rPr>
        <w:t xml:space="preserve">istema </w:t>
      </w:r>
      <w:r w:rsidR="00154C15" w:rsidRPr="0078456B">
        <w:rPr>
          <w:rFonts w:ascii="Calibri" w:hAnsi="Calibri"/>
          <w:color w:val="000000"/>
          <w:sz w:val="22"/>
          <w:szCs w:val="20"/>
        </w:rPr>
        <w:t>S</w:t>
      </w:r>
      <w:r w:rsidRPr="0078456B">
        <w:rPr>
          <w:rFonts w:ascii="Calibri" w:hAnsi="Calibri"/>
          <w:color w:val="000000"/>
          <w:sz w:val="22"/>
          <w:szCs w:val="20"/>
        </w:rPr>
        <w:t xml:space="preserve">anitario </w:t>
      </w:r>
      <w:r w:rsidR="00154C15" w:rsidRPr="0078456B">
        <w:rPr>
          <w:rFonts w:ascii="Calibri" w:hAnsi="Calibri"/>
          <w:color w:val="000000"/>
          <w:sz w:val="22"/>
          <w:szCs w:val="20"/>
        </w:rPr>
        <w:t>R</w:t>
      </w:r>
      <w:r w:rsidRPr="0078456B">
        <w:rPr>
          <w:rFonts w:ascii="Calibri" w:hAnsi="Calibri"/>
          <w:color w:val="000000"/>
          <w:sz w:val="22"/>
          <w:szCs w:val="20"/>
        </w:rPr>
        <w:t>egionale</w:t>
      </w:r>
      <w:r w:rsidR="00154C15">
        <w:rPr>
          <w:rFonts w:ascii="Calibri" w:hAnsi="Calibri"/>
          <w:color w:val="000000"/>
          <w:sz w:val="22"/>
          <w:szCs w:val="20"/>
        </w:rPr>
        <w:t xml:space="preserve"> non raggiunge il livello di adempienza </w:t>
      </w:r>
      <w:r w:rsidR="00D82C67">
        <w:rPr>
          <w:rFonts w:ascii="Calibri" w:hAnsi="Calibri"/>
          <w:color w:val="000000"/>
          <w:sz w:val="22"/>
          <w:szCs w:val="20"/>
        </w:rPr>
        <w:t>richiesto dagli sta</w:t>
      </w:r>
      <w:r w:rsidR="00D82C67">
        <w:rPr>
          <w:rFonts w:ascii="Calibri" w:hAnsi="Calibri"/>
          <w:color w:val="000000"/>
          <w:sz w:val="22"/>
          <w:szCs w:val="20"/>
        </w:rPr>
        <w:t>n</w:t>
      </w:r>
      <w:r w:rsidR="00D82C67">
        <w:rPr>
          <w:rFonts w:ascii="Calibri" w:hAnsi="Calibri"/>
          <w:color w:val="000000"/>
          <w:sz w:val="22"/>
          <w:szCs w:val="20"/>
        </w:rPr>
        <w:t>dard nazionali</w:t>
      </w:r>
      <w:r w:rsidR="00154C15">
        <w:rPr>
          <w:rFonts w:ascii="Calibri" w:hAnsi="Calibri"/>
          <w:color w:val="000000"/>
          <w:sz w:val="22"/>
          <w:szCs w:val="20"/>
        </w:rPr>
        <w:t xml:space="preserve">. </w:t>
      </w:r>
      <w:r w:rsidR="00154C15" w:rsidRPr="0078456B">
        <w:rPr>
          <w:rFonts w:ascii="Calibri" w:hAnsi="Calibri"/>
          <w:color w:val="000000"/>
          <w:sz w:val="22"/>
          <w:szCs w:val="20"/>
        </w:rPr>
        <w:t>La spesa sanitaria sarda incide per il 9,8% del PIL regionale contro una media nazionale del 6,7%.</w:t>
      </w:r>
    </w:p>
    <w:p w:rsidR="00154C15" w:rsidRDefault="00B4148A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>
        <w:rPr>
          <w:rFonts w:ascii="Calibri" w:hAnsi="Calibri"/>
          <w:color w:val="000000"/>
          <w:sz w:val="22"/>
          <w:szCs w:val="20"/>
        </w:rPr>
        <w:t>Buone notizie nell’ambito della raccolta differenziata dei rifiuti</w:t>
      </w:r>
      <w:r w:rsidR="00154C15">
        <w:rPr>
          <w:rFonts w:ascii="Calibri" w:hAnsi="Calibri"/>
          <w:color w:val="000000"/>
          <w:sz w:val="22"/>
          <w:szCs w:val="20"/>
        </w:rPr>
        <w:t>: la percentuale di raccolta continua a crescere e raggiunge, nel 2017, il 63,5%</w:t>
      </w:r>
      <w:r w:rsidR="00D82C67">
        <w:rPr>
          <w:rFonts w:ascii="Calibri" w:hAnsi="Calibri"/>
          <w:color w:val="000000"/>
          <w:sz w:val="22"/>
          <w:szCs w:val="20"/>
        </w:rPr>
        <w:t>,</w:t>
      </w:r>
      <w:r w:rsidR="00154C15">
        <w:rPr>
          <w:rFonts w:ascii="Calibri" w:hAnsi="Calibri"/>
          <w:color w:val="000000"/>
          <w:sz w:val="22"/>
          <w:szCs w:val="20"/>
        </w:rPr>
        <w:t xml:space="preserve"> valor</w:t>
      </w:r>
      <w:r w:rsidR="00D82C67">
        <w:rPr>
          <w:rFonts w:ascii="Calibri" w:hAnsi="Calibri"/>
          <w:color w:val="000000"/>
          <w:sz w:val="22"/>
          <w:szCs w:val="20"/>
        </w:rPr>
        <w:t>e maggiore della percentuale de</w:t>
      </w:r>
      <w:r w:rsidR="00154C15">
        <w:rPr>
          <w:rFonts w:ascii="Calibri" w:hAnsi="Calibri"/>
          <w:color w:val="000000"/>
          <w:sz w:val="22"/>
          <w:szCs w:val="20"/>
        </w:rPr>
        <w:t>l Centro-Nord (61,6%) e del Mezzogiorno (41,9%). La produzione di rifiuti solidi urbani continua a ridursi fino a 438,3 kg per abitante, inferiore rispetto sia alla media del Centro-Nord (513,7 kg) che del Mezzogiorno (488,8 kg). Tuttavia, anche quest’anno, i com</w:t>
      </w:r>
      <w:r w:rsidR="00154C15">
        <w:rPr>
          <w:rFonts w:ascii="Calibri" w:hAnsi="Calibri"/>
          <w:color w:val="000000"/>
          <w:sz w:val="22"/>
          <w:szCs w:val="20"/>
        </w:rPr>
        <w:t>u</w:t>
      </w:r>
      <w:r w:rsidR="00154C15">
        <w:rPr>
          <w:rFonts w:ascii="Calibri" w:hAnsi="Calibri"/>
          <w:color w:val="000000"/>
          <w:sz w:val="22"/>
          <w:szCs w:val="20"/>
        </w:rPr>
        <w:t xml:space="preserve">ni sardi spendono più della media nazionale sia per la gestione dei rifiuti solidi urbani </w:t>
      </w:r>
      <w:r w:rsidR="00AD1AB0">
        <w:rPr>
          <w:rFonts w:ascii="Calibri" w:hAnsi="Calibri"/>
          <w:color w:val="000000"/>
          <w:sz w:val="22"/>
          <w:szCs w:val="20"/>
        </w:rPr>
        <w:t xml:space="preserve">sia </w:t>
      </w:r>
      <w:r w:rsidR="00154C15">
        <w:rPr>
          <w:rFonts w:ascii="Calibri" w:hAnsi="Calibri"/>
          <w:color w:val="000000"/>
          <w:sz w:val="22"/>
          <w:szCs w:val="20"/>
        </w:rPr>
        <w:t>per la raccolta diff</w:t>
      </w:r>
      <w:r w:rsidR="00154C15">
        <w:rPr>
          <w:rFonts w:ascii="Calibri" w:hAnsi="Calibri"/>
          <w:color w:val="000000"/>
          <w:sz w:val="22"/>
          <w:szCs w:val="20"/>
        </w:rPr>
        <w:t>e</w:t>
      </w:r>
      <w:r w:rsidR="00154C15">
        <w:rPr>
          <w:rFonts w:ascii="Calibri" w:hAnsi="Calibri"/>
          <w:color w:val="000000"/>
          <w:sz w:val="22"/>
          <w:szCs w:val="20"/>
        </w:rPr>
        <w:t>renziata.</w:t>
      </w:r>
    </w:p>
    <w:p w:rsidR="00154C15" w:rsidRDefault="00154C15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>
        <w:rPr>
          <w:rFonts w:ascii="Calibri" w:hAnsi="Calibri"/>
          <w:color w:val="000000"/>
          <w:sz w:val="22"/>
          <w:szCs w:val="20"/>
        </w:rPr>
        <w:t xml:space="preserve">Dall’analisi del trasporto pubblico derivano sia elementi positivi </w:t>
      </w:r>
      <w:r w:rsidR="00AD1AB0">
        <w:rPr>
          <w:rFonts w:ascii="Calibri" w:hAnsi="Calibri"/>
          <w:color w:val="000000"/>
          <w:sz w:val="22"/>
          <w:szCs w:val="20"/>
        </w:rPr>
        <w:t xml:space="preserve">sia </w:t>
      </w:r>
      <w:r>
        <w:rPr>
          <w:rFonts w:ascii="Calibri" w:hAnsi="Calibri"/>
          <w:color w:val="000000"/>
          <w:sz w:val="22"/>
          <w:szCs w:val="20"/>
        </w:rPr>
        <w:t xml:space="preserve">negativi. Il 2017 rappresenta, nell’ultimo decennio, l’anno con la più alta percentuale di pendolari che utilizzano i mezzi pubblici (18,2%). Questo dato risulta in crescita del 3,9% rispetto al 2016 </w:t>
      </w:r>
      <w:r w:rsidR="00D82C67">
        <w:rPr>
          <w:rFonts w:ascii="Calibri" w:hAnsi="Calibri"/>
          <w:color w:val="000000"/>
          <w:sz w:val="22"/>
          <w:szCs w:val="20"/>
        </w:rPr>
        <w:t xml:space="preserve">ma </w:t>
      </w:r>
      <w:r>
        <w:rPr>
          <w:rFonts w:ascii="Calibri" w:hAnsi="Calibri"/>
          <w:color w:val="000000"/>
          <w:sz w:val="22"/>
          <w:szCs w:val="20"/>
        </w:rPr>
        <w:t xml:space="preserve">la </w:t>
      </w:r>
      <w:r w:rsidR="00D82C67">
        <w:rPr>
          <w:rFonts w:ascii="Calibri" w:hAnsi="Calibri"/>
          <w:color w:val="000000"/>
          <w:sz w:val="22"/>
          <w:szCs w:val="20"/>
        </w:rPr>
        <w:t xml:space="preserve">Sardegna </w:t>
      </w:r>
      <w:r w:rsidR="00230E63">
        <w:rPr>
          <w:rFonts w:ascii="Calibri" w:hAnsi="Calibri"/>
          <w:color w:val="000000"/>
          <w:sz w:val="22"/>
          <w:szCs w:val="20"/>
        </w:rPr>
        <w:t>ha</w:t>
      </w:r>
      <w:r w:rsidR="00D82C67">
        <w:rPr>
          <w:rFonts w:ascii="Calibri" w:hAnsi="Calibri"/>
          <w:color w:val="000000"/>
          <w:sz w:val="22"/>
          <w:szCs w:val="20"/>
        </w:rPr>
        <w:t xml:space="preserve"> valori</w:t>
      </w:r>
      <w:r>
        <w:rPr>
          <w:rFonts w:ascii="Calibri" w:hAnsi="Calibri"/>
          <w:color w:val="000000"/>
          <w:sz w:val="22"/>
          <w:szCs w:val="20"/>
        </w:rPr>
        <w:t xml:space="preserve"> ancora inferiori a quelli delle altre regioni. Il livello di soddisfazione degli utenti </w:t>
      </w:r>
      <w:r w:rsidR="00230E63">
        <w:rPr>
          <w:rFonts w:ascii="Calibri" w:hAnsi="Calibri"/>
          <w:color w:val="000000"/>
          <w:sz w:val="22"/>
          <w:szCs w:val="20"/>
        </w:rPr>
        <w:t xml:space="preserve">di treni e pullman (trasporto extraurbano) è </w:t>
      </w:r>
      <w:r>
        <w:rPr>
          <w:rFonts w:ascii="Calibri" w:hAnsi="Calibri"/>
          <w:color w:val="000000"/>
          <w:sz w:val="22"/>
          <w:szCs w:val="20"/>
        </w:rPr>
        <w:t>inferiore a quello medio n</w:t>
      </w:r>
      <w:r>
        <w:rPr>
          <w:rFonts w:ascii="Calibri" w:hAnsi="Calibri"/>
          <w:color w:val="000000"/>
          <w:sz w:val="22"/>
          <w:szCs w:val="20"/>
        </w:rPr>
        <w:t>a</w:t>
      </w:r>
      <w:r>
        <w:rPr>
          <w:rFonts w:ascii="Calibri" w:hAnsi="Calibri"/>
          <w:color w:val="000000"/>
          <w:sz w:val="22"/>
          <w:szCs w:val="20"/>
        </w:rPr>
        <w:t>zionale</w:t>
      </w:r>
      <w:r w:rsidR="00230E63">
        <w:rPr>
          <w:rFonts w:ascii="Calibri" w:hAnsi="Calibri"/>
          <w:color w:val="000000"/>
          <w:sz w:val="22"/>
          <w:szCs w:val="20"/>
        </w:rPr>
        <w:t xml:space="preserve">, mentre </w:t>
      </w:r>
      <w:r>
        <w:rPr>
          <w:rFonts w:ascii="Calibri" w:hAnsi="Calibri"/>
          <w:color w:val="000000"/>
          <w:sz w:val="22"/>
          <w:szCs w:val="20"/>
        </w:rPr>
        <w:t xml:space="preserve">i livelli di soddisfazione degli utenti sardi </w:t>
      </w:r>
      <w:r w:rsidR="00230E63">
        <w:rPr>
          <w:rFonts w:ascii="Calibri" w:hAnsi="Calibri"/>
          <w:color w:val="000000"/>
          <w:sz w:val="22"/>
          <w:szCs w:val="20"/>
        </w:rPr>
        <w:t xml:space="preserve">degli autobus (trasporto urbano) </w:t>
      </w:r>
      <w:r>
        <w:rPr>
          <w:rFonts w:ascii="Calibri" w:hAnsi="Calibri"/>
          <w:color w:val="000000"/>
          <w:sz w:val="22"/>
          <w:szCs w:val="20"/>
        </w:rPr>
        <w:t xml:space="preserve">sono nettamente maggiori del Mezzogiorno e di poco superiori a quelli </w:t>
      </w:r>
      <w:r w:rsidR="00230E63">
        <w:rPr>
          <w:rFonts w:ascii="Calibri" w:hAnsi="Calibri"/>
          <w:color w:val="000000"/>
          <w:sz w:val="22"/>
          <w:szCs w:val="20"/>
        </w:rPr>
        <w:t>d</w:t>
      </w:r>
      <w:r>
        <w:rPr>
          <w:rFonts w:ascii="Calibri" w:hAnsi="Calibri"/>
          <w:color w:val="000000"/>
          <w:sz w:val="22"/>
          <w:szCs w:val="20"/>
        </w:rPr>
        <w:t xml:space="preserve">el Centro-Nord. </w:t>
      </w:r>
    </w:p>
    <w:p w:rsidR="00154C15" w:rsidRDefault="00B4148A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>
        <w:rPr>
          <w:rFonts w:ascii="Calibri" w:hAnsi="Calibri"/>
          <w:color w:val="000000"/>
          <w:sz w:val="22"/>
          <w:szCs w:val="20"/>
        </w:rPr>
        <w:t>Per quanto riguarda il</w:t>
      </w:r>
      <w:r w:rsidR="00154C15">
        <w:rPr>
          <w:rFonts w:ascii="Calibri" w:hAnsi="Calibri"/>
          <w:color w:val="000000"/>
          <w:sz w:val="22"/>
          <w:szCs w:val="20"/>
        </w:rPr>
        <w:t xml:space="preserve"> </w:t>
      </w:r>
      <w:r w:rsidR="0028674A" w:rsidRPr="00CF6037">
        <w:rPr>
          <w:rFonts w:ascii="Calibri" w:hAnsi="Calibri"/>
          <w:i/>
          <w:color w:val="000000"/>
          <w:sz w:val="22"/>
          <w:szCs w:val="20"/>
        </w:rPr>
        <w:t>welfare</w:t>
      </w:r>
      <w:r w:rsidR="00154C15">
        <w:rPr>
          <w:rFonts w:ascii="Calibri" w:hAnsi="Calibri"/>
          <w:color w:val="000000"/>
          <w:sz w:val="22"/>
          <w:szCs w:val="20"/>
        </w:rPr>
        <w:t xml:space="preserve"> locale</w:t>
      </w:r>
      <w:r>
        <w:rPr>
          <w:rFonts w:ascii="Calibri" w:hAnsi="Calibri"/>
          <w:color w:val="000000"/>
          <w:sz w:val="22"/>
          <w:szCs w:val="20"/>
        </w:rPr>
        <w:t>, la</w:t>
      </w:r>
      <w:r w:rsidR="00154C15">
        <w:rPr>
          <w:rFonts w:ascii="Calibri" w:hAnsi="Calibri"/>
          <w:color w:val="000000"/>
          <w:sz w:val="22"/>
          <w:szCs w:val="20"/>
        </w:rPr>
        <w:t xml:space="preserve"> percentuale di comuni coperti dai servizi socio-educativi per l’infanzia</w:t>
      </w:r>
      <w:r w:rsidRPr="00B4148A">
        <w:rPr>
          <w:rFonts w:ascii="Calibri" w:hAnsi="Calibri"/>
          <w:color w:val="000000"/>
          <w:sz w:val="22"/>
          <w:szCs w:val="20"/>
        </w:rPr>
        <w:t xml:space="preserve"> </w:t>
      </w:r>
      <w:r>
        <w:rPr>
          <w:rFonts w:ascii="Calibri" w:hAnsi="Calibri"/>
          <w:color w:val="000000"/>
          <w:sz w:val="22"/>
          <w:szCs w:val="20"/>
        </w:rPr>
        <w:t>cala di 6,9 punti nell’ultimo anno</w:t>
      </w:r>
      <w:r w:rsidR="00230E63">
        <w:rPr>
          <w:rFonts w:ascii="Calibri" w:hAnsi="Calibri"/>
          <w:color w:val="000000"/>
          <w:sz w:val="22"/>
          <w:szCs w:val="20"/>
        </w:rPr>
        <w:t>: s</w:t>
      </w:r>
      <w:r w:rsidR="00154C15">
        <w:rPr>
          <w:rFonts w:ascii="Calibri" w:hAnsi="Calibri"/>
          <w:color w:val="000000"/>
          <w:sz w:val="22"/>
          <w:szCs w:val="20"/>
        </w:rPr>
        <w:t xml:space="preserve">olo </w:t>
      </w:r>
      <w:r w:rsidR="00CF6037">
        <w:rPr>
          <w:rFonts w:ascii="Calibri" w:hAnsi="Calibri"/>
          <w:color w:val="000000"/>
          <w:sz w:val="22"/>
          <w:szCs w:val="20"/>
        </w:rPr>
        <w:t xml:space="preserve">il </w:t>
      </w:r>
      <w:r w:rsidR="00154C15">
        <w:rPr>
          <w:rFonts w:ascii="Calibri" w:hAnsi="Calibri"/>
          <w:color w:val="000000"/>
          <w:sz w:val="22"/>
          <w:szCs w:val="20"/>
        </w:rPr>
        <w:t xml:space="preserve">30,8% dei comuni </w:t>
      </w:r>
      <w:r w:rsidR="00230E63">
        <w:rPr>
          <w:rFonts w:ascii="Calibri" w:hAnsi="Calibri"/>
          <w:color w:val="000000"/>
          <w:sz w:val="22"/>
          <w:szCs w:val="20"/>
        </w:rPr>
        <w:t xml:space="preserve">della Sardegna </w:t>
      </w:r>
      <w:r w:rsidR="00CF6037">
        <w:rPr>
          <w:rFonts w:ascii="Calibri" w:hAnsi="Calibri"/>
          <w:color w:val="000000"/>
          <w:sz w:val="22"/>
          <w:szCs w:val="20"/>
        </w:rPr>
        <w:t>eroga tali</w:t>
      </w:r>
      <w:r w:rsidR="00154C15">
        <w:rPr>
          <w:rFonts w:ascii="Calibri" w:hAnsi="Calibri"/>
          <w:color w:val="000000"/>
          <w:sz w:val="22"/>
          <w:szCs w:val="20"/>
        </w:rPr>
        <w:t xml:space="preserve"> servizi, </w:t>
      </w:r>
      <w:r w:rsidR="00230E63">
        <w:rPr>
          <w:rFonts w:ascii="Calibri" w:hAnsi="Calibri"/>
          <w:color w:val="000000"/>
          <w:sz w:val="22"/>
          <w:szCs w:val="20"/>
        </w:rPr>
        <w:t>terzultima regione in Italia per copertura</w:t>
      </w:r>
      <w:r w:rsidR="00154C15">
        <w:rPr>
          <w:rFonts w:ascii="Calibri" w:hAnsi="Calibri"/>
          <w:color w:val="000000"/>
          <w:sz w:val="22"/>
          <w:szCs w:val="20"/>
        </w:rPr>
        <w:t>. Il livello di fruizione del servizio, comunque, continua a crescere: in Sardegna l’11,3% degli utenti potenziali utilizza il servizio</w:t>
      </w:r>
      <w:r w:rsidR="00E20173">
        <w:rPr>
          <w:rFonts w:ascii="Calibri" w:hAnsi="Calibri"/>
          <w:color w:val="000000"/>
          <w:sz w:val="22"/>
          <w:szCs w:val="20"/>
        </w:rPr>
        <w:t>,</w:t>
      </w:r>
      <w:r w:rsidR="00154C15">
        <w:rPr>
          <w:rFonts w:ascii="Calibri" w:hAnsi="Calibri"/>
          <w:color w:val="000000"/>
          <w:sz w:val="22"/>
          <w:szCs w:val="20"/>
        </w:rPr>
        <w:t xml:space="preserve"> contro il </w:t>
      </w:r>
      <w:r w:rsidR="00230E63">
        <w:rPr>
          <w:rFonts w:ascii="Calibri" w:hAnsi="Calibri"/>
          <w:color w:val="000000"/>
          <w:sz w:val="22"/>
          <w:szCs w:val="20"/>
        </w:rPr>
        <w:t>7</w:t>
      </w:r>
      <w:r w:rsidR="00154C15">
        <w:rPr>
          <w:rFonts w:ascii="Calibri" w:hAnsi="Calibri"/>
          <w:color w:val="000000"/>
          <w:sz w:val="22"/>
          <w:szCs w:val="20"/>
        </w:rPr>
        <w:t xml:space="preserve">% registrato nelle altre regioni del </w:t>
      </w:r>
      <w:r>
        <w:rPr>
          <w:rFonts w:ascii="Calibri" w:hAnsi="Calibri"/>
          <w:color w:val="000000"/>
          <w:sz w:val="22"/>
          <w:szCs w:val="20"/>
        </w:rPr>
        <w:t>M</w:t>
      </w:r>
      <w:r w:rsidR="00154C15">
        <w:rPr>
          <w:rFonts w:ascii="Calibri" w:hAnsi="Calibri"/>
          <w:color w:val="000000"/>
          <w:sz w:val="22"/>
          <w:szCs w:val="20"/>
        </w:rPr>
        <w:t xml:space="preserve">ezzogiorno. </w:t>
      </w:r>
    </w:p>
    <w:p w:rsidR="00700912" w:rsidRDefault="00700912" w:rsidP="00DB0A17">
      <w:pPr>
        <w:spacing w:before="240" w:after="0"/>
        <w:outlineLvl w:val="0"/>
        <w:rPr>
          <w:rFonts w:ascii="Calibri" w:hAnsi="Calibri"/>
          <w:b/>
          <w:color w:val="000000"/>
          <w:sz w:val="22"/>
          <w:szCs w:val="20"/>
        </w:rPr>
      </w:pPr>
    </w:p>
    <w:p w:rsidR="00154C15" w:rsidRDefault="00154C15" w:rsidP="00DB0A17">
      <w:pPr>
        <w:spacing w:before="240" w:after="0"/>
        <w:outlineLvl w:val="0"/>
        <w:rPr>
          <w:rFonts w:ascii="Calibri" w:hAnsi="Calibri"/>
          <w:b/>
          <w:color w:val="000000"/>
          <w:sz w:val="22"/>
          <w:szCs w:val="20"/>
        </w:rPr>
      </w:pPr>
      <w:r w:rsidRPr="00154C15">
        <w:rPr>
          <w:rFonts w:ascii="Calibri" w:hAnsi="Calibri"/>
          <w:b/>
          <w:color w:val="000000"/>
          <w:sz w:val="22"/>
          <w:szCs w:val="20"/>
        </w:rPr>
        <w:lastRenderedPageBreak/>
        <w:t xml:space="preserve">Capitale </w:t>
      </w:r>
      <w:r>
        <w:rPr>
          <w:rFonts w:ascii="Calibri" w:hAnsi="Calibri"/>
          <w:b/>
          <w:color w:val="000000"/>
          <w:sz w:val="22"/>
          <w:szCs w:val="20"/>
        </w:rPr>
        <w:t>umano e Rice</w:t>
      </w:r>
      <w:r w:rsidRPr="00154C15">
        <w:rPr>
          <w:rFonts w:ascii="Calibri" w:hAnsi="Calibri"/>
          <w:b/>
          <w:color w:val="000000"/>
          <w:sz w:val="22"/>
          <w:szCs w:val="20"/>
        </w:rPr>
        <w:t xml:space="preserve">rca e </w:t>
      </w:r>
      <w:r>
        <w:rPr>
          <w:rFonts w:ascii="Calibri" w:hAnsi="Calibri"/>
          <w:b/>
          <w:color w:val="000000"/>
          <w:sz w:val="22"/>
          <w:szCs w:val="20"/>
        </w:rPr>
        <w:t>S</w:t>
      </w:r>
      <w:r w:rsidRPr="00154C15">
        <w:rPr>
          <w:rFonts w:ascii="Calibri" w:hAnsi="Calibri"/>
          <w:b/>
          <w:color w:val="000000"/>
          <w:sz w:val="22"/>
          <w:szCs w:val="20"/>
        </w:rPr>
        <w:t>vilu</w:t>
      </w:r>
      <w:r>
        <w:rPr>
          <w:rFonts w:ascii="Calibri" w:hAnsi="Calibri"/>
          <w:b/>
          <w:color w:val="000000"/>
          <w:sz w:val="22"/>
          <w:szCs w:val="20"/>
        </w:rPr>
        <w:t>p</w:t>
      </w:r>
      <w:r w:rsidRPr="00154C15">
        <w:rPr>
          <w:rFonts w:ascii="Calibri" w:hAnsi="Calibri"/>
          <w:b/>
          <w:color w:val="000000"/>
          <w:sz w:val="22"/>
          <w:szCs w:val="20"/>
        </w:rPr>
        <w:t xml:space="preserve">po: luci e ombre </w:t>
      </w:r>
      <w:r>
        <w:rPr>
          <w:rFonts w:ascii="Calibri" w:hAnsi="Calibri"/>
          <w:b/>
          <w:color w:val="000000"/>
          <w:sz w:val="22"/>
          <w:szCs w:val="20"/>
        </w:rPr>
        <w:t>per la Sardegna</w:t>
      </w:r>
    </w:p>
    <w:p w:rsidR="00154C15" w:rsidRPr="00206B9E" w:rsidRDefault="00154C15" w:rsidP="00B4148A">
      <w:pPr>
        <w:spacing w:after="0"/>
        <w:outlineLv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La Sardegna negli ultimi anni ha evidenziato una forte crescita dei laureati di 30-34 anni (dal 17% del 2013 al 23,6% nel 2017): nonostante questo, é da rimarcare</w:t>
      </w:r>
      <w:r w:rsidRPr="00206B9E">
        <w:rPr>
          <w:rFonts w:asciiTheme="minorHAnsi" w:hAnsiTheme="minorHAnsi"/>
          <w:sz w:val="22"/>
          <w:szCs w:val="22"/>
        </w:rPr>
        <w:t xml:space="preserve"> il ritardo rispetto agli obiettivi programmati </w:t>
      </w:r>
      <w:r>
        <w:rPr>
          <w:rFonts w:asciiTheme="minorHAnsi" w:hAnsiTheme="minorHAnsi"/>
          <w:sz w:val="22"/>
          <w:szCs w:val="22"/>
        </w:rPr>
        <w:t>nel</w:t>
      </w:r>
      <w:r w:rsidRPr="00206B9E">
        <w:rPr>
          <w:rFonts w:asciiTheme="minorHAnsi" w:hAnsiTheme="minorHAnsi"/>
          <w:sz w:val="22"/>
          <w:szCs w:val="22"/>
        </w:rPr>
        <w:t xml:space="preserve"> doc</w:t>
      </w:r>
      <w:r w:rsidRPr="00206B9E">
        <w:rPr>
          <w:rFonts w:asciiTheme="minorHAnsi" w:hAnsiTheme="minorHAnsi"/>
          <w:sz w:val="22"/>
          <w:szCs w:val="22"/>
        </w:rPr>
        <w:t>u</w:t>
      </w:r>
      <w:r w:rsidRPr="00206B9E">
        <w:rPr>
          <w:rFonts w:asciiTheme="minorHAnsi" w:hAnsiTheme="minorHAnsi"/>
          <w:sz w:val="22"/>
          <w:szCs w:val="22"/>
        </w:rPr>
        <w:t>mento Strategia Europa 2020</w:t>
      </w:r>
      <w:r>
        <w:rPr>
          <w:rFonts w:asciiTheme="minorHAnsi" w:hAnsiTheme="minorHAnsi"/>
          <w:sz w:val="22"/>
          <w:szCs w:val="22"/>
        </w:rPr>
        <w:t xml:space="preserve"> (nel 2020 almeno il 40% dei giovani deve essere laureato) e la distanza rispetto </w:t>
      </w:r>
      <w:r w:rsidRPr="00206B9E">
        <w:rPr>
          <w:rFonts w:asciiTheme="minorHAnsi" w:hAnsiTheme="minorHAnsi"/>
          <w:sz w:val="22"/>
          <w:szCs w:val="22"/>
        </w:rPr>
        <w:t xml:space="preserve">alla media </w:t>
      </w:r>
      <w:r>
        <w:rPr>
          <w:rFonts w:asciiTheme="minorHAnsi" w:hAnsiTheme="minorHAnsi"/>
          <w:sz w:val="22"/>
          <w:szCs w:val="22"/>
        </w:rPr>
        <w:t xml:space="preserve">dei paesi </w:t>
      </w:r>
      <w:r w:rsidRPr="00206B9E">
        <w:rPr>
          <w:rFonts w:asciiTheme="minorHAnsi" w:hAnsiTheme="minorHAnsi"/>
          <w:sz w:val="22"/>
          <w:szCs w:val="22"/>
        </w:rPr>
        <w:t>dell’UE</w:t>
      </w:r>
      <w:r>
        <w:rPr>
          <w:rFonts w:asciiTheme="minorHAnsi" w:hAnsiTheme="minorHAnsi"/>
          <w:sz w:val="22"/>
          <w:szCs w:val="22"/>
        </w:rPr>
        <w:t xml:space="preserve"> (39,9% nel 2017)</w:t>
      </w:r>
      <w:r w:rsidRPr="00206B9E">
        <w:rPr>
          <w:rFonts w:asciiTheme="minorHAnsi" w:hAnsiTheme="minorHAnsi"/>
          <w:sz w:val="22"/>
          <w:szCs w:val="22"/>
        </w:rPr>
        <w:t>.</w:t>
      </w:r>
      <w:r w:rsidR="00B4148A">
        <w:rPr>
          <w:rFonts w:asciiTheme="minorHAnsi" w:hAnsiTheme="minorHAnsi"/>
          <w:sz w:val="22"/>
          <w:szCs w:val="22"/>
        </w:rPr>
        <w:t xml:space="preserve"> </w:t>
      </w:r>
      <w:r w:rsidRPr="00206B9E">
        <w:rPr>
          <w:rFonts w:asciiTheme="minorHAnsi" w:hAnsiTheme="minorHAnsi"/>
          <w:sz w:val="22"/>
          <w:szCs w:val="22"/>
        </w:rPr>
        <w:t xml:space="preserve">Appaiono inoltre elevati </w:t>
      </w:r>
      <w:r>
        <w:rPr>
          <w:rFonts w:asciiTheme="minorHAnsi" w:hAnsiTheme="minorHAnsi"/>
          <w:sz w:val="22"/>
          <w:szCs w:val="22"/>
        </w:rPr>
        <w:t xml:space="preserve">i </w:t>
      </w:r>
      <w:r w:rsidRPr="00206B9E">
        <w:rPr>
          <w:rFonts w:asciiTheme="minorHAnsi" w:hAnsiTheme="minorHAnsi"/>
          <w:sz w:val="22"/>
          <w:szCs w:val="22"/>
        </w:rPr>
        <w:t xml:space="preserve">divari </w:t>
      </w:r>
      <w:r w:rsidRPr="00F175A4">
        <w:rPr>
          <w:rFonts w:asciiTheme="minorHAnsi" w:hAnsiTheme="minorHAnsi"/>
          <w:sz w:val="22"/>
          <w:szCs w:val="22"/>
        </w:rPr>
        <w:t xml:space="preserve">nelle </w:t>
      </w:r>
      <w:r w:rsidR="00703523">
        <w:rPr>
          <w:rFonts w:asciiTheme="minorHAnsi" w:hAnsiTheme="minorHAnsi"/>
          <w:sz w:val="22"/>
          <w:szCs w:val="22"/>
        </w:rPr>
        <w:t xml:space="preserve">conoscenze e </w:t>
      </w:r>
      <w:r w:rsidRPr="00F175A4">
        <w:rPr>
          <w:rFonts w:asciiTheme="minorHAnsi" w:hAnsiTheme="minorHAnsi"/>
          <w:sz w:val="22"/>
          <w:szCs w:val="22"/>
        </w:rPr>
        <w:t>competenze scientifiche</w:t>
      </w:r>
      <w:r w:rsidR="00CF6037">
        <w:rPr>
          <w:rFonts w:asciiTheme="minorHAnsi" w:hAnsiTheme="minorHAnsi"/>
          <w:sz w:val="22"/>
          <w:szCs w:val="22"/>
        </w:rPr>
        <w:t xml:space="preserve"> </w:t>
      </w:r>
      <w:r w:rsidR="00703523">
        <w:rPr>
          <w:rFonts w:asciiTheme="minorHAnsi" w:hAnsiTheme="minorHAnsi"/>
          <w:sz w:val="22"/>
          <w:szCs w:val="22"/>
        </w:rPr>
        <w:t>che rivestono un ruolo fondamentale per lo</w:t>
      </w:r>
      <w:r>
        <w:rPr>
          <w:rFonts w:asciiTheme="minorHAnsi" w:hAnsiTheme="minorHAnsi"/>
          <w:sz w:val="22"/>
          <w:szCs w:val="22"/>
        </w:rPr>
        <w:t xml:space="preserve"> sviluppo dell’innovazione: nel 2017 solo il 3,9% della forza lavoro fa parte della categoria “scienziati ed ingegneri”, rispetto al 7,2% della media UE.</w:t>
      </w:r>
    </w:p>
    <w:p w:rsidR="00154C15" w:rsidRPr="00206B9E" w:rsidRDefault="00B4148A" w:rsidP="00154C15">
      <w:pPr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E</w:t>
      </w:r>
      <w:r w:rsidR="00154C15">
        <w:rPr>
          <w:rFonts w:asciiTheme="minorHAnsi" w:hAnsiTheme="minorHAnsi"/>
          <w:sz w:val="22"/>
          <w:szCs w:val="22"/>
        </w:rPr>
        <w:t xml:space="preserve">lementi di preoccupazione sono evidenziati </w:t>
      </w:r>
      <w:r>
        <w:rPr>
          <w:rFonts w:asciiTheme="minorHAnsi" w:hAnsiTheme="minorHAnsi"/>
          <w:sz w:val="22"/>
          <w:szCs w:val="22"/>
        </w:rPr>
        <w:t xml:space="preserve">anche </w:t>
      </w:r>
      <w:r w:rsidR="00703523">
        <w:rPr>
          <w:rFonts w:asciiTheme="minorHAnsi" w:hAnsiTheme="minorHAnsi"/>
          <w:sz w:val="22"/>
          <w:szCs w:val="22"/>
        </w:rPr>
        <w:t>dal tasso</w:t>
      </w:r>
      <w:r w:rsidR="00703523" w:rsidRPr="00206B9E">
        <w:rPr>
          <w:rFonts w:asciiTheme="minorHAnsi" w:hAnsiTheme="minorHAnsi"/>
          <w:sz w:val="22"/>
          <w:szCs w:val="22"/>
        </w:rPr>
        <w:t xml:space="preserve"> </w:t>
      </w:r>
      <w:r w:rsidR="00154C15" w:rsidRPr="00206B9E">
        <w:rPr>
          <w:rFonts w:asciiTheme="minorHAnsi" w:hAnsiTheme="minorHAnsi"/>
          <w:sz w:val="22"/>
          <w:szCs w:val="22"/>
        </w:rPr>
        <w:t>di abbandono scolastico</w:t>
      </w:r>
      <w:r>
        <w:rPr>
          <w:rFonts w:asciiTheme="minorHAnsi" w:hAnsiTheme="minorHAnsi"/>
          <w:sz w:val="22"/>
          <w:szCs w:val="22"/>
        </w:rPr>
        <w:t xml:space="preserve"> </w:t>
      </w:r>
      <w:r w:rsidR="00B63C13">
        <w:rPr>
          <w:rFonts w:asciiTheme="minorHAnsi" w:hAnsiTheme="minorHAnsi"/>
          <w:sz w:val="22"/>
          <w:szCs w:val="22"/>
        </w:rPr>
        <w:t xml:space="preserve">(21,2% in Sardegna nel 2017, rispetto al 10,6% della media UE) </w:t>
      </w:r>
      <w:r w:rsidR="003C0546">
        <w:rPr>
          <w:rFonts w:asciiTheme="minorHAnsi" w:hAnsiTheme="minorHAnsi"/>
          <w:sz w:val="22"/>
          <w:szCs w:val="22"/>
        </w:rPr>
        <w:t>e dall</w:t>
      </w:r>
      <w:r w:rsidR="00B63C13">
        <w:rPr>
          <w:rFonts w:asciiTheme="minorHAnsi" w:hAnsiTheme="minorHAnsi"/>
          <w:sz w:val="22"/>
          <w:szCs w:val="22"/>
        </w:rPr>
        <w:t xml:space="preserve">a </w:t>
      </w:r>
      <w:r w:rsidR="00154C15" w:rsidRPr="00206B9E">
        <w:rPr>
          <w:rFonts w:asciiTheme="minorHAnsi" w:hAnsiTheme="minorHAnsi"/>
          <w:sz w:val="22"/>
          <w:szCs w:val="22"/>
        </w:rPr>
        <w:t xml:space="preserve">percentuale di </w:t>
      </w:r>
      <w:r w:rsidR="003C0546">
        <w:rPr>
          <w:rFonts w:asciiTheme="minorHAnsi" w:hAnsiTheme="minorHAnsi"/>
          <w:sz w:val="22"/>
          <w:szCs w:val="22"/>
        </w:rPr>
        <w:t xml:space="preserve">NEET, ovvero </w:t>
      </w:r>
      <w:r w:rsidR="00154C15" w:rsidRPr="00206B9E">
        <w:rPr>
          <w:rFonts w:asciiTheme="minorHAnsi" w:hAnsiTheme="minorHAnsi"/>
          <w:sz w:val="22"/>
          <w:szCs w:val="22"/>
        </w:rPr>
        <w:t xml:space="preserve">giovani </w:t>
      </w:r>
      <w:r w:rsidR="00154C15">
        <w:rPr>
          <w:rFonts w:asciiTheme="minorHAnsi" w:hAnsiTheme="minorHAnsi"/>
          <w:sz w:val="22"/>
          <w:szCs w:val="22"/>
        </w:rPr>
        <w:t xml:space="preserve">scoraggiati, </w:t>
      </w:r>
      <w:r w:rsidR="00154C15" w:rsidRPr="00206B9E">
        <w:rPr>
          <w:rFonts w:asciiTheme="minorHAnsi" w:hAnsiTheme="minorHAnsi"/>
          <w:sz w:val="22"/>
          <w:szCs w:val="22"/>
        </w:rPr>
        <w:t>fuori dal mo</w:t>
      </w:r>
      <w:r w:rsidR="00154C15" w:rsidRPr="00206B9E">
        <w:rPr>
          <w:rFonts w:asciiTheme="minorHAnsi" w:hAnsiTheme="minorHAnsi"/>
          <w:sz w:val="22"/>
          <w:szCs w:val="22"/>
        </w:rPr>
        <w:t>n</w:t>
      </w:r>
      <w:r w:rsidR="00154C15" w:rsidRPr="00206B9E">
        <w:rPr>
          <w:rFonts w:asciiTheme="minorHAnsi" w:hAnsiTheme="minorHAnsi"/>
          <w:sz w:val="22"/>
          <w:szCs w:val="22"/>
        </w:rPr>
        <w:t>do del lavoro e da attività di istruzione o formazione</w:t>
      </w:r>
      <w:r w:rsidR="003C0546">
        <w:rPr>
          <w:rFonts w:asciiTheme="minorHAnsi" w:hAnsiTheme="minorHAnsi"/>
          <w:sz w:val="22"/>
          <w:szCs w:val="22"/>
        </w:rPr>
        <w:t xml:space="preserve">, che </w:t>
      </w:r>
      <w:r w:rsidR="00154C15" w:rsidRPr="00206B9E">
        <w:rPr>
          <w:rFonts w:asciiTheme="minorHAnsi" w:hAnsiTheme="minorHAnsi"/>
          <w:sz w:val="22"/>
          <w:szCs w:val="22"/>
        </w:rPr>
        <w:t xml:space="preserve"> </w:t>
      </w:r>
      <w:r w:rsidR="00B63C13">
        <w:rPr>
          <w:rFonts w:asciiTheme="minorHAnsi" w:hAnsiTheme="minorHAnsi"/>
          <w:sz w:val="22"/>
          <w:szCs w:val="22"/>
        </w:rPr>
        <w:t xml:space="preserve">risulta ancora troppo alta </w:t>
      </w:r>
      <w:r w:rsidR="003C0546">
        <w:rPr>
          <w:rFonts w:asciiTheme="minorHAnsi" w:hAnsiTheme="minorHAnsi"/>
          <w:sz w:val="22"/>
          <w:szCs w:val="22"/>
        </w:rPr>
        <w:t>(</w:t>
      </w:r>
      <w:r w:rsidR="00154C15">
        <w:rPr>
          <w:rFonts w:asciiTheme="minorHAnsi" w:hAnsiTheme="minorHAnsi"/>
          <w:sz w:val="22"/>
          <w:szCs w:val="22"/>
        </w:rPr>
        <w:t>24,1% in Sardegna nel 2017, rispetto al 10,9% della me</w:t>
      </w:r>
      <w:r w:rsidR="00B63C13">
        <w:rPr>
          <w:rFonts w:asciiTheme="minorHAnsi" w:hAnsiTheme="minorHAnsi"/>
          <w:sz w:val="22"/>
          <w:szCs w:val="22"/>
        </w:rPr>
        <w:t>dia UE</w:t>
      </w:r>
      <w:r w:rsidR="003C0546">
        <w:rPr>
          <w:rFonts w:asciiTheme="minorHAnsi" w:hAnsiTheme="minorHAnsi"/>
          <w:sz w:val="22"/>
          <w:szCs w:val="22"/>
        </w:rPr>
        <w:t>)</w:t>
      </w:r>
      <w:r w:rsidR="00154C15" w:rsidRPr="00206B9E">
        <w:rPr>
          <w:rFonts w:asciiTheme="minorHAnsi" w:hAnsiTheme="minorHAnsi"/>
          <w:sz w:val="22"/>
          <w:szCs w:val="22"/>
        </w:rPr>
        <w:t>.</w:t>
      </w:r>
    </w:p>
    <w:p w:rsidR="00154C15" w:rsidRPr="00206B9E" w:rsidRDefault="00154C15" w:rsidP="00154C15">
      <w:pPr>
        <w:spacing w:after="0"/>
        <w:rPr>
          <w:rFonts w:asciiTheme="minorHAnsi" w:hAnsiTheme="minorHAnsi"/>
          <w:sz w:val="22"/>
          <w:szCs w:val="22"/>
        </w:rPr>
      </w:pPr>
      <w:r w:rsidRPr="00206B9E">
        <w:rPr>
          <w:rFonts w:asciiTheme="minorHAnsi" w:hAnsiTheme="minorHAnsi"/>
          <w:sz w:val="22"/>
          <w:szCs w:val="22"/>
        </w:rPr>
        <w:t>Su</w:t>
      </w:r>
      <w:r>
        <w:rPr>
          <w:rFonts w:asciiTheme="minorHAnsi" w:hAnsiTheme="minorHAnsi"/>
          <w:sz w:val="22"/>
          <w:szCs w:val="22"/>
        </w:rPr>
        <w:t>l fronte degli investimenti in ricerca e sviluppo</w:t>
      </w:r>
      <w:r w:rsidR="00B63C13">
        <w:rPr>
          <w:rFonts w:asciiTheme="minorHAnsi" w:hAnsiTheme="minorHAnsi"/>
          <w:sz w:val="22"/>
          <w:szCs w:val="22"/>
        </w:rPr>
        <w:t xml:space="preserve">, </w:t>
      </w:r>
      <w:r w:rsidRPr="00206B9E">
        <w:rPr>
          <w:rFonts w:asciiTheme="minorHAnsi" w:hAnsiTheme="minorHAnsi"/>
          <w:sz w:val="22"/>
          <w:szCs w:val="22"/>
        </w:rPr>
        <w:t>la Sardegna</w:t>
      </w:r>
      <w:r w:rsidR="00B63C13">
        <w:rPr>
          <w:rFonts w:asciiTheme="minorHAnsi" w:hAnsiTheme="minorHAnsi"/>
          <w:sz w:val="22"/>
          <w:szCs w:val="22"/>
        </w:rPr>
        <w:t xml:space="preserve"> investe </w:t>
      </w:r>
      <w:r>
        <w:rPr>
          <w:rFonts w:asciiTheme="minorHAnsi" w:hAnsiTheme="minorHAnsi"/>
          <w:sz w:val="22"/>
          <w:szCs w:val="22"/>
        </w:rPr>
        <w:t xml:space="preserve">meno di un terzo rispetto alla media dei paesi UE (il 28%), con una quota di investimenti privata esigua (appena il 15% del totale rispetto al 61% dell’Italia e al 65% della media UE). </w:t>
      </w:r>
      <w:r w:rsidRPr="00206B9E">
        <w:rPr>
          <w:rFonts w:asciiTheme="minorHAnsi" w:hAnsiTheme="minorHAnsi"/>
          <w:sz w:val="22"/>
          <w:szCs w:val="22"/>
        </w:rPr>
        <w:t xml:space="preserve">Nonostante i bassi livelli di investimento in </w:t>
      </w:r>
      <w:r>
        <w:rPr>
          <w:rFonts w:asciiTheme="minorHAnsi" w:hAnsiTheme="minorHAnsi"/>
          <w:sz w:val="22"/>
          <w:szCs w:val="22"/>
        </w:rPr>
        <w:t>ricerca e sviluppo</w:t>
      </w:r>
      <w:r w:rsidRPr="00206B9E">
        <w:rPr>
          <w:rFonts w:asciiTheme="minorHAnsi" w:hAnsiTheme="minorHAnsi"/>
          <w:sz w:val="22"/>
          <w:szCs w:val="22"/>
        </w:rPr>
        <w:t>, le imprese isolane sembrano adattarsi alle nuove t</w:t>
      </w:r>
      <w:r>
        <w:rPr>
          <w:rFonts w:asciiTheme="minorHAnsi" w:hAnsiTheme="minorHAnsi"/>
          <w:sz w:val="22"/>
          <w:szCs w:val="22"/>
        </w:rPr>
        <w:t xml:space="preserve">ecnologie in maniera strategica: il 37,5% </w:t>
      </w:r>
      <w:r w:rsidR="00703523">
        <w:rPr>
          <w:rFonts w:asciiTheme="minorHAnsi" w:hAnsiTheme="minorHAnsi"/>
          <w:sz w:val="22"/>
          <w:szCs w:val="22"/>
        </w:rPr>
        <w:t>di esse</w:t>
      </w:r>
      <w:r>
        <w:rPr>
          <w:rFonts w:asciiTheme="minorHAnsi" w:hAnsiTheme="minorHAnsi"/>
          <w:sz w:val="22"/>
          <w:szCs w:val="22"/>
        </w:rPr>
        <w:t xml:space="preserve"> ha infatti intrapreso </w:t>
      </w:r>
      <w:r w:rsidR="00B63C13">
        <w:rPr>
          <w:rFonts w:asciiTheme="minorHAnsi" w:hAnsiTheme="minorHAnsi"/>
          <w:sz w:val="22"/>
          <w:szCs w:val="22"/>
        </w:rPr>
        <w:t>attività</w:t>
      </w:r>
      <w:r>
        <w:rPr>
          <w:rFonts w:asciiTheme="minorHAnsi" w:hAnsiTheme="minorHAnsi"/>
          <w:sz w:val="22"/>
          <w:szCs w:val="22"/>
        </w:rPr>
        <w:t xml:space="preserve"> innovative nel 2016, dato inferiore alla media UE (52%) ma incoraggiante se rapportato ai bassi tassi di investimento in ricerca e sviluppo. </w:t>
      </w:r>
      <w:r w:rsidRPr="00206B9E">
        <w:rPr>
          <w:rFonts w:asciiTheme="minorHAnsi" w:hAnsiTheme="minorHAnsi"/>
          <w:sz w:val="22"/>
          <w:szCs w:val="22"/>
        </w:rPr>
        <w:t>Esiste quindi una componente privata che, nonostante la congiuntura n</w:t>
      </w:r>
      <w:r w:rsidRPr="00206B9E">
        <w:rPr>
          <w:rFonts w:asciiTheme="minorHAnsi" w:hAnsiTheme="minorHAnsi"/>
          <w:sz w:val="22"/>
          <w:szCs w:val="22"/>
        </w:rPr>
        <w:t>e</w:t>
      </w:r>
      <w:r w:rsidRPr="00206B9E">
        <w:rPr>
          <w:rFonts w:asciiTheme="minorHAnsi" w:hAnsiTheme="minorHAnsi"/>
          <w:sz w:val="22"/>
          <w:szCs w:val="22"/>
        </w:rPr>
        <w:t>gativa, si impegna per competere in mercati globali, scegliendo nuove tecnologie e sfruttando le opportunità che arrivano dallo sviluppo digitale.</w:t>
      </w:r>
    </w:p>
    <w:p w:rsidR="00154C15" w:rsidRPr="00B63C13" w:rsidRDefault="00B63C13" w:rsidP="00154C15">
      <w:pPr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Per quanto riguarda le</w:t>
      </w:r>
      <w:r w:rsidR="00154C15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8674A" w:rsidRPr="0028674A">
        <w:rPr>
          <w:rFonts w:asciiTheme="minorHAnsi" w:hAnsiTheme="minorHAnsi"/>
          <w:i/>
          <w:sz w:val="22"/>
          <w:szCs w:val="22"/>
        </w:rPr>
        <w:t>startup</w:t>
      </w:r>
      <w:proofErr w:type="spellEnd"/>
      <w:r w:rsidR="00154C15">
        <w:rPr>
          <w:rFonts w:asciiTheme="minorHAnsi" w:hAnsiTheme="minorHAnsi"/>
          <w:sz w:val="22"/>
          <w:szCs w:val="22"/>
        </w:rPr>
        <w:t xml:space="preserve"> innovative </w:t>
      </w:r>
      <w:r>
        <w:rPr>
          <w:rFonts w:asciiTheme="minorHAnsi" w:hAnsiTheme="minorHAnsi"/>
          <w:sz w:val="22"/>
          <w:szCs w:val="22"/>
        </w:rPr>
        <w:t>emerge</w:t>
      </w:r>
      <w:r w:rsidR="00154C15">
        <w:rPr>
          <w:rFonts w:asciiTheme="minorHAnsi" w:hAnsiTheme="minorHAnsi"/>
          <w:sz w:val="22"/>
          <w:szCs w:val="22"/>
        </w:rPr>
        <w:t xml:space="preserve"> il ruolo </w:t>
      </w:r>
      <w:r w:rsidR="003C0546">
        <w:rPr>
          <w:rFonts w:asciiTheme="minorHAnsi" w:hAnsiTheme="minorHAnsi"/>
          <w:sz w:val="22"/>
          <w:szCs w:val="22"/>
        </w:rPr>
        <w:t>fondamentale</w:t>
      </w:r>
      <w:r w:rsidR="00154C15">
        <w:rPr>
          <w:rFonts w:asciiTheme="minorHAnsi" w:hAnsiTheme="minorHAnsi"/>
          <w:sz w:val="22"/>
          <w:szCs w:val="22"/>
        </w:rPr>
        <w:t xml:space="preserve"> di Cagliari (18,7 </w:t>
      </w:r>
      <w:proofErr w:type="spellStart"/>
      <w:r w:rsidR="0028674A" w:rsidRPr="0028674A">
        <w:rPr>
          <w:rFonts w:asciiTheme="minorHAnsi" w:hAnsiTheme="minorHAnsi"/>
          <w:i/>
          <w:sz w:val="22"/>
          <w:szCs w:val="22"/>
        </w:rPr>
        <w:t>startup</w:t>
      </w:r>
      <w:proofErr w:type="spellEnd"/>
      <w:r w:rsidR="00154C15">
        <w:rPr>
          <w:rFonts w:asciiTheme="minorHAnsi" w:hAnsiTheme="minorHAnsi"/>
          <w:sz w:val="22"/>
          <w:szCs w:val="22"/>
        </w:rPr>
        <w:t xml:space="preserve"> ogni 100.000 abitanti), superiore alla media nazionale (16,1) e al resto delle province isolane (13,5 per Sassari, 5,7 per Nu</w:t>
      </w:r>
      <w:r w:rsidR="00154C15">
        <w:rPr>
          <w:rFonts w:asciiTheme="minorHAnsi" w:hAnsiTheme="minorHAnsi"/>
          <w:sz w:val="22"/>
          <w:szCs w:val="22"/>
        </w:rPr>
        <w:t>o</w:t>
      </w:r>
      <w:r w:rsidR="00154C15">
        <w:rPr>
          <w:rFonts w:asciiTheme="minorHAnsi" w:hAnsiTheme="minorHAnsi"/>
          <w:sz w:val="22"/>
          <w:szCs w:val="22"/>
        </w:rPr>
        <w:t xml:space="preserve">ro e 2,5 per Oristano). </w:t>
      </w:r>
      <w:r w:rsidR="00154C15" w:rsidRPr="00206B9E">
        <w:rPr>
          <w:rFonts w:asciiTheme="minorHAnsi" w:hAnsiTheme="minorHAnsi"/>
          <w:sz w:val="22"/>
          <w:szCs w:val="22"/>
        </w:rPr>
        <w:t xml:space="preserve">L'attività più diffusa si conferma la produzione di software e la consulenza informatica, </w:t>
      </w:r>
      <w:r w:rsidR="00154C15" w:rsidRPr="00B63C13">
        <w:rPr>
          <w:rFonts w:asciiTheme="minorHAnsi" w:hAnsiTheme="minorHAnsi"/>
          <w:sz w:val="22"/>
          <w:szCs w:val="22"/>
        </w:rPr>
        <w:t>sicuramente il settore meno dipendente dalla condizione di insularit</w:t>
      </w:r>
      <w:r w:rsidR="003C0546">
        <w:rPr>
          <w:rFonts w:asciiTheme="minorHAnsi" w:hAnsiTheme="minorHAnsi"/>
          <w:sz w:val="22"/>
          <w:szCs w:val="22"/>
        </w:rPr>
        <w:t>à</w:t>
      </w:r>
      <w:r w:rsidR="00154C15" w:rsidRPr="00B63C13">
        <w:rPr>
          <w:rFonts w:asciiTheme="minorHAnsi" w:hAnsiTheme="minorHAnsi"/>
          <w:sz w:val="22"/>
          <w:szCs w:val="22"/>
        </w:rPr>
        <w:t>.</w:t>
      </w:r>
    </w:p>
    <w:p w:rsidR="00700912" w:rsidRPr="00DB0A17" w:rsidRDefault="00E26A21" w:rsidP="00700912">
      <w:pPr>
        <w:spacing w:before="240" w:after="0"/>
        <w:outlineLvl w:val="0"/>
        <w:rPr>
          <w:rFonts w:ascii="Calibri" w:hAnsi="Calibri"/>
          <w:b/>
          <w:color w:val="000000"/>
          <w:sz w:val="22"/>
          <w:szCs w:val="20"/>
        </w:rPr>
      </w:pPr>
      <w:r>
        <w:rPr>
          <w:rFonts w:asciiTheme="minorHAnsi" w:hAnsiTheme="minorHAnsi"/>
          <w:b/>
          <w:sz w:val="22"/>
          <w:szCs w:val="20"/>
        </w:rPr>
        <w:t>T</w:t>
      </w:r>
      <w:r w:rsidR="00154C15" w:rsidRPr="005F23C8">
        <w:rPr>
          <w:rFonts w:asciiTheme="minorHAnsi" w:hAnsiTheme="minorHAnsi"/>
          <w:b/>
          <w:sz w:val="22"/>
          <w:szCs w:val="20"/>
        </w:rPr>
        <w:t xml:space="preserve">urismo: </w:t>
      </w:r>
      <w:r w:rsidR="00700912">
        <w:rPr>
          <w:rFonts w:ascii="Calibri" w:hAnsi="Calibri"/>
          <w:b/>
          <w:color w:val="000000"/>
          <w:sz w:val="22"/>
          <w:szCs w:val="20"/>
        </w:rPr>
        <w:t>m</w:t>
      </w:r>
      <w:r w:rsidR="00700912" w:rsidRPr="00DB0A17">
        <w:rPr>
          <w:rFonts w:ascii="Calibri" w:hAnsi="Calibri"/>
          <w:b/>
          <w:color w:val="000000"/>
          <w:sz w:val="22"/>
          <w:szCs w:val="20"/>
        </w:rPr>
        <w:t>igliora l’internazionalizzazione</w:t>
      </w:r>
      <w:r w:rsidR="00700912">
        <w:rPr>
          <w:rFonts w:ascii="Calibri" w:hAnsi="Calibri"/>
          <w:b/>
          <w:color w:val="000000"/>
          <w:sz w:val="22"/>
          <w:szCs w:val="20"/>
        </w:rPr>
        <w:t>,</w:t>
      </w:r>
      <w:r w:rsidR="00700912" w:rsidRPr="00DB0A17">
        <w:rPr>
          <w:rFonts w:ascii="Calibri" w:hAnsi="Calibri"/>
          <w:b/>
          <w:color w:val="000000"/>
          <w:sz w:val="22"/>
          <w:szCs w:val="20"/>
        </w:rPr>
        <w:t xml:space="preserve"> diminuisce la stagionalità</w:t>
      </w:r>
      <w:r w:rsidR="00700912">
        <w:rPr>
          <w:rFonts w:ascii="Calibri" w:hAnsi="Calibri"/>
          <w:b/>
          <w:color w:val="000000"/>
          <w:sz w:val="22"/>
          <w:szCs w:val="20"/>
        </w:rPr>
        <w:t>, aumenta l'offerta di alta qualità</w:t>
      </w:r>
    </w:p>
    <w:p w:rsidR="00154C15" w:rsidRPr="005F23C8" w:rsidRDefault="00154C15" w:rsidP="00700912">
      <w:pPr>
        <w:spacing w:after="0"/>
        <w:outlineLvl w:val="0"/>
        <w:rPr>
          <w:rFonts w:asciiTheme="minorHAnsi" w:hAnsiTheme="minorHAnsi"/>
          <w:b/>
          <w:sz w:val="22"/>
          <w:szCs w:val="20"/>
        </w:rPr>
      </w:pPr>
      <w:r w:rsidRPr="005F23C8">
        <w:rPr>
          <w:rFonts w:ascii="Calibri" w:hAnsi="Calibri"/>
          <w:color w:val="000000" w:themeColor="text1"/>
          <w:sz w:val="22"/>
          <w:szCs w:val="20"/>
        </w:rPr>
        <w:t>I dati Istat per il 2017 indicano circa 3 milioni</w:t>
      </w:r>
      <w:r w:rsidRPr="005F23C8">
        <w:rPr>
          <w:rFonts w:ascii="Calibri" w:hAnsi="Calibri"/>
          <w:color w:val="000000"/>
          <w:sz w:val="22"/>
          <w:szCs w:val="20"/>
        </w:rPr>
        <w:t xml:space="preserve"> e 100 mila arrivi e 14 milioni e 220 mila presenze (</w:t>
      </w:r>
      <w:r>
        <w:rPr>
          <w:rFonts w:ascii="Calibri" w:hAnsi="Calibri"/>
          <w:color w:val="000000"/>
          <w:sz w:val="22"/>
          <w:szCs w:val="20"/>
        </w:rPr>
        <w:t>rispettivame</w:t>
      </w:r>
      <w:r>
        <w:rPr>
          <w:rFonts w:ascii="Calibri" w:hAnsi="Calibri"/>
          <w:color w:val="000000"/>
          <w:sz w:val="22"/>
          <w:szCs w:val="20"/>
        </w:rPr>
        <w:t>n</w:t>
      </w:r>
      <w:r>
        <w:rPr>
          <w:rFonts w:ascii="Calibri" w:hAnsi="Calibri"/>
          <w:color w:val="000000"/>
          <w:sz w:val="22"/>
          <w:szCs w:val="20"/>
        </w:rPr>
        <w:t xml:space="preserve">te </w:t>
      </w:r>
      <w:r w:rsidRPr="005F23C8">
        <w:rPr>
          <w:rFonts w:ascii="Calibri" w:hAnsi="Calibri"/>
          <w:color w:val="000000"/>
          <w:sz w:val="22"/>
          <w:szCs w:val="20"/>
        </w:rPr>
        <w:t xml:space="preserve">+7,6% </w:t>
      </w:r>
      <w:r>
        <w:rPr>
          <w:rFonts w:ascii="Calibri" w:hAnsi="Calibri"/>
          <w:color w:val="000000"/>
          <w:sz w:val="22"/>
          <w:szCs w:val="20"/>
        </w:rPr>
        <w:t xml:space="preserve">e </w:t>
      </w:r>
      <w:r w:rsidRPr="005F23C8">
        <w:rPr>
          <w:rFonts w:ascii="Calibri" w:hAnsi="Calibri"/>
          <w:color w:val="000000"/>
          <w:sz w:val="22"/>
          <w:szCs w:val="20"/>
        </w:rPr>
        <w:t>+5,5%</w:t>
      </w:r>
      <w:r w:rsidR="003C0546">
        <w:rPr>
          <w:rFonts w:ascii="Calibri" w:hAnsi="Calibri"/>
          <w:color w:val="000000"/>
          <w:sz w:val="22"/>
          <w:szCs w:val="20"/>
        </w:rPr>
        <w:t xml:space="preserve"> rispetto al 2016</w:t>
      </w:r>
      <w:r w:rsidRPr="005F23C8">
        <w:rPr>
          <w:rFonts w:ascii="Calibri" w:hAnsi="Calibri"/>
          <w:color w:val="000000"/>
          <w:sz w:val="22"/>
          <w:szCs w:val="20"/>
        </w:rPr>
        <w:t xml:space="preserve">). La componente estera (+10,4% </w:t>
      </w:r>
      <w:r>
        <w:rPr>
          <w:rFonts w:ascii="Calibri" w:hAnsi="Calibri"/>
          <w:color w:val="000000"/>
          <w:sz w:val="22"/>
          <w:szCs w:val="20"/>
        </w:rPr>
        <w:t xml:space="preserve">presenze </w:t>
      </w:r>
      <w:r w:rsidRPr="005F23C8">
        <w:rPr>
          <w:rFonts w:ascii="Calibri" w:hAnsi="Calibri"/>
          <w:color w:val="000000"/>
          <w:sz w:val="22"/>
          <w:szCs w:val="20"/>
        </w:rPr>
        <w:t xml:space="preserve">e +12,7% arrivi) cresce più di quella nazionale (+1,0% presenze e +3,2% arrivi). Rispetto ai </w:t>
      </w:r>
      <w:r w:rsidR="0028674A" w:rsidRPr="0028674A">
        <w:rPr>
          <w:rFonts w:ascii="Calibri" w:hAnsi="Calibri"/>
          <w:i/>
          <w:color w:val="000000"/>
          <w:sz w:val="22"/>
          <w:szCs w:val="20"/>
        </w:rPr>
        <w:t>competitor</w:t>
      </w:r>
      <w:r w:rsidRPr="005F23C8">
        <w:rPr>
          <w:rFonts w:ascii="Calibri" w:hAnsi="Calibri"/>
          <w:color w:val="000000"/>
          <w:sz w:val="22"/>
          <w:szCs w:val="20"/>
        </w:rPr>
        <w:t xml:space="preserve"> (Sicilia, Puglia, Calabria e Corsica), la </w:t>
      </w:r>
      <w:r w:rsidR="0028674A" w:rsidRPr="0028674A">
        <w:rPr>
          <w:rFonts w:ascii="Calibri" w:hAnsi="Calibri"/>
          <w:i/>
          <w:color w:val="000000"/>
          <w:sz w:val="22"/>
          <w:szCs w:val="20"/>
        </w:rPr>
        <w:t>performance</w:t>
      </w:r>
      <w:r w:rsidRPr="005F23C8">
        <w:rPr>
          <w:rFonts w:ascii="Calibri" w:hAnsi="Calibri"/>
          <w:color w:val="000000"/>
          <w:sz w:val="22"/>
          <w:szCs w:val="20"/>
        </w:rPr>
        <w:t xml:space="preserve"> della Sardegna risulta la migliore per quanto riguarda la </w:t>
      </w:r>
      <w:r>
        <w:rPr>
          <w:rFonts w:ascii="Calibri" w:hAnsi="Calibri"/>
          <w:color w:val="000000"/>
          <w:sz w:val="22"/>
          <w:szCs w:val="20"/>
        </w:rPr>
        <w:t xml:space="preserve">crescita delle presenze </w:t>
      </w:r>
      <w:r w:rsidR="00B63C13">
        <w:rPr>
          <w:rFonts w:ascii="Calibri" w:hAnsi="Calibri"/>
          <w:color w:val="000000"/>
          <w:sz w:val="22"/>
          <w:szCs w:val="20"/>
        </w:rPr>
        <w:t>straniere</w:t>
      </w:r>
      <w:r w:rsidRPr="005F23C8">
        <w:rPr>
          <w:rFonts w:ascii="Calibri" w:hAnsi="Calibri"/>
          <w:color w:val="000000"/>
          <w:sz w:val="22"/>
          <w:szCs w:val="20"/>
        </w:rPr>
        <w:t xml:space="preserve">. </w:t>
      </w:r>
    </w:p>
    <w:p w:rsidR="00154C15" w:rsidRPr="005F23C8" w:rsidRDefault="00154C15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 w:rsidRPr="005F23C8">
        <w:rPr>
          <w:rFonts w:ascii="Calibri" w:hAnsi="Calibri"/>
          <w:color w:val="000000"/>
          <w:sz w:val="22"/>
          <w:szCs w:val="20"/>
        </w:rPr>
        <w:t xml:space="preserve">Nel 2017 la quota dei turisti stranieri raggiunge il 50% (32% nel 2008) ed eguaglia la quota media </w:t>
      </w:r>
      <w:r>
        <w:rPr>
          <w:rFonts w:ascii="Calibri" w:hAnsi="Calibri"/>
          <w:color w:val="000000"/>
          <w:sz w:val="22"/>
          <w:szCs w:val="20"/>
        </w:rPr>
        <w:t>nazionale</w:t>
      </w:r>
      <w:r w:rsidRPr="005F23C8">
        <w:rPr>
          <w:rFonts w:ascii="Calibri" w:hAnsi="Calibri"/>
          <w:color w:val="000000"/>
          <w:sz w:val="22"/>
          <w:szCs w:val="20"/>
        </w:rPr>
        <w:t xml:space="preserve">. </w:t>
      </w:r>
      <w:r w:rsidRPr="005F23C8">
        <w:rPr>
          <w:rFonts w:ascii="Calibri" w:hAnsi="Calibri" w:cs="Calibri"/>
          <w:color w:val="000000"/>
          <w:sz w:val="22"/>
          <w:szCs w:val="20"/>
        </w:rPr>
        <w:t xml:space="preserve">Germania, Francia, Svizzera e Regno Unito si riconfermano i principali </w:t>
      </w:r>
      <w:r>
        <w:rPr>
          <w:rFonts w:ascii="Calibri" w:hAnsi="Calibri" w:cs="Calibri"/>
          <w:color w:val="000000"/>
          <w:sz w:val="22"/>
          <w:szCs w:val="20"/>
        </w:rPr>
        <w:t>p</w:t>
      </w:r>
      <w:r w:rsidRPr="005F23C8">
        <w:rPr>
          <w:rFonts w:ascii="Calibri" w:hAnsi="Calibri" w:cs="Calibri"/>
          <w:color w:val="000000"/>
          <w:sz w:val="22"/>
          <w:szCs w:val="20"/>
        </w:rPr>
        <w:t xml:space="preserve">aesi di provenienza dei </w:t>
      </w:r>
      <w:r>
        <w:rPr>
          <w:rFonts w:ascii="Calibri" w:hAnsi="Calibri" w:cs="Calibri"/>
          <w:color w:val="000000"/>
          <w:sz w:val="22"/>
          <w:szCs w:val="20"/>
        </w:rPr>
        <w:t>flussi turistici</w:t>
      </w:r>
      <w:r w:rsidRPr="005F23C8">
        <w:rPr>
          <w:rFonts w:ascii="Calibri" w:hAnsi="Calibri" w:cs="Calibri"/>
          <w:color w:val="000000"/>
          <w:sz w:val="22"/>
          <w:szCs w:val="20"/>
        </w:rPr>
        <w:t xml:space="preserve">. </w:t>
      </w:r>
      <w:r w:rsidRPr="005F23C8">
        <w:rPr>
          <w:rFonts w:ascii="Calibri" w:hAnsi="Calibri"/>
          <w:color w:val="000000"/>
          <w:sz w:val="22"/>
          <w:szCs w:val="20"/>
        </w:rPr>
        <w:t xml:space="preserve">Da segnalare la crescita sostenuta </w:t>
      </w:r>
      <w:r w:rsidR="00D76930">
        <w:rPr>
          <w:rFonts w:ascii="Calibri" w:hAnsi="Calibri"/>
          <w:color w:val="000000"/>
          <w:sz w:val="22"/>
          <w:szCs w:val="20"/>
        </w:rPr>
        <w:t xml:space="preserve">nel 2017 </w:t>
      </w:r>
      <w:r w:rsidRPr="005F23C8">
        <w:rPr>
          <w:rFonts w:ascii="Calibri" w:hAnsi="Calibri"/>
          <w:color w:val="000000"/>
          <w:sz w:val="22"/>
          <w:szCs w:val="20"/>
        </w:rPr>
        <w:t>dei turisti russi (+</w:t>
      </w:r>
      <w:r>
        <w:rPr>
          <w:rFonts w:ascii="Calibri" w:hAnsi="Calibri"/>
          <w:color w:val="000000"/>
          <w:sz w:val="22"/>
          <w:szCs w:val="20"/>
        </w:rPr>
        <w:t>25%) e inglesi (+24</w:t>
      </w:r>
      <w:r w:rsidRPr="005F23C8">
        <w:rPr>
          <w:rFonts w:ascii="Calibri" w:hAnsi="Calibri"/>
          <w:color w:val="000000"/>
          <w:sz w:val="22"/>
          <w:szCs w:val="20"/>
        </w:rPr>
        <w:t xml:space="preserve">%). Aumentano anche i turisti provenienti dalla Svezia (+22%), </w:t>
      </w:r>
      <w:r>
        <w:rPr>
          <w:rFonts w:ascii="Calibri" w:hAnsi="Calibri"/>
          <w:color w:val="000000"/>
          <w:sz w:val="22"/>
          <w:szCs w:val="20"/>
        </w:rPr>
        <w:t xml:space="preserve">così come </w:t>
      </w:r>
      <w:r w:rsidRPr="005F23C8">
        <w:rPr>
          <w:rFonts w:ascii="Calibri" w:hAnsi="Calibri"/>
          <w:color w:val="000000"/>
          <w:sz w:val="22"/>
          <w:szCs w:val="20"/>
        </w:rPr>
        <w:t>quelli provenienti dai Paesi Bassi (+1</w:t>
      </w:r>
      <w:r>
        <w:rPr>
          <w:rFonts w:ascii="Calibri" w:hAnsi="Calibri"/>
          <w:color w:val="000000"/>
          <w:sz w:val="22"/>
          <w:szCs w:val="20"/>
        </w:rPr>
        <w:t>7</w:t>
      </w:r>
      <w:r w:rsidRPr="005F23C8">
        <w:rPr>
          <w:rFonts w:ascii="Calibri" w:hAnsi="Calibri"/>
          <w:color w:val="000000"/>
          <w:sz w:val="22"/>
          <w:szCs w:val="20"/>
        </w:rPr>
        <w:t xml:space="preserve">%) e dalla Spagna (+14,3%). </w:t>
      </w:r>
    </w:p>
    <w:p w:rsidR="00154C15" w:rsidRPr="005F23C8" w:rsidRDefault="00154C15" w:rsidP="00154C15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 w:rsidRPr="005F23C8">
        <w:rPr>
          <w:rFonts w:ascii="Calibri" w:hAnsi="Calibri"/>
          <w:color w:val="000000"/>
          <w:sz w:val="22"/>
          <w:szCs w:val="20"/>
        </w:rPr>
        <w:t xml:space="preserve">Circa il 50% delle presenze turistiche </w:t>
      </w:r>
      <w:r w:rsidR="00DB0A17">
        <w:rPr>
          <w:rFonts w:ascii="Calibri" w:hAnsi="Calibri"/>
          <w:color w:val="000000"/>
          <w:sz w:val="22"/>
          <w:szCs w:val="20"/>
        </w:rPr>
        <w:t xml:space="preserve">complessive </w:t>
      </w:r>
      <w:r w:rsidRPr="005F23C8">
        <w:rPr>
          <w:rFonts w:ascii="Calibri" w:hAnsi="Calibri"/>
          <w:color w:val="000000"/>
          <w:sz w:val="22"/>
          <w:szCs w:val="20"/>
        </w:rPr>
        <w:t xml:space="preserve">si concentra nei mesi di luglio e agosto, percentuale </w:t>
      </w:r>
      <w:r w:rsidR="00DB0A17">
        <w:rPr>
          <w:rFonts w:ascii="Calibri" w:hAnsi="Calibri"/>
          <w:color w:val="000000"/>
          <w:sz w:val="22"/>
          <w:szCs w:val="20"/>
        </w:rPr>
        <w:t xml:space="preserve">che </w:t>
      </w:r>
      <w:r w:rsidRPr="005F23C8">
        <w:rPr>
          <w:rFonts w:ascii="Calibri" w:hAnsi="Calibri"/>
          <w:color w:val="000000"/>
          <w:sz w:val="22"/>
          <w:szCs w:val="20"/>
        </w:rPr>
        <w:t xml:space="preserve">raggiunge l’82% se si considera l’intera </w:t>
      </w:r>
      <w:r>
        <w:rPr>
          <w:rFonts w:ascii="Calibri" w:hAnsi="Calibri"/>
          <w:color w:val="000000"/>
          <w:sz w:val="22"/>
          <w:szCs w:val="20"/>
        </w:rPr>
        <w:t>stagione estiva</w:t>
      </w:r>
      <w:r w:rsidRPr="005F23C8">
        <w:rPr>
          <w:rFonts w:ascii="Calibri" w:hAnsi="Calibri"/>
          <w:color w:val="000000"/>
          <w:sz w:val="22"/>
          <w:szCs w:val="20"/>
        </w:rPr>
        <w:t xml:space="preserve"> da giugno a settem</w:t>
      </w:r>
      <w:r w:rsidR="00DB0A17">
        <w:rPr>
          <w:rFonts w:ascii="Calibri" w:hAnsi="Calibri"/>
          <w:color w:val="000000"/>
          <w:sz w:val="22"/>
          <w:szCs w:val="20"/>
        </w:rPr>
        <w:t>bre</w:t>
      </w:r>
      <w:r w:rsidRPr="005F23C8">
        <w:rPr>
          <w:rFonts w:ascii="Calibri" w:hAnsi="Calibri"/>
          <w:color w:val="000000"/>
          <w:sz w:val="22"/>
          <w:szCs w:val="20"/>
        </w:rPr>
        <w:t xml:space="preserve">. </w:t>
      </w:r>
      <w:r w:rsidR="00DB0A17" w:rsidRPr="005F23C8">
        <w:rPr>
          <w:rFonts w:ascii="Calibri" w:hAnsi="Calibri"/>
          <w:color w:val="000000"/>
          <w:sz w:val="22"/>
          <w:szCs w:val="20"/>
        </w:rPr>
        <w:t>La forte stagionalità dei flussi</w:t>
      </w:r>
      <w:r w:rsidR="00DB0A17">
        <w:rPr>
          <w:rFonts w:ascii="Calibri" w:hAnsi="Calibri"/>
          <w:color w:val="000000"/>
          <w:sz w:val="22"/>
          <w:szCs w:val="20"/>
        </w:rPr>
        <w:t>,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 </w:t>
      </w:r>
      <w:r w:rsidR="00DB0A17" w:rsidRPr="005F23C8">
        <w:rPr>
          <w:rFonts w:ascii="Calibri" w:hAnsi="Calibri"/>
          <w:color w:val="000000"/>
          <w:sz w:val="22"/>
          <w:szCs w:val="20"/>
        </w:rPr>
        <w:lastRenderedPageBreak/>
        <w:t>caratteristic</w:t>
      </w:r>
      <w:r w:rsidR="00DB0A17">
        <w:rPr>
          <w:rFonts w:ascii="Calibri" w:hAnsi="Calibri"/>
          <w:color w:val="000000"/>
          <w:sz w:val="22"/>
          <w:szCs w:val="20"/>
        </w:rPr>
        <w:t>a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 delle destinazioni orientate al turismo </w:t>
      </w:r>
      <w:proofErr w:type="spellStart"/>
      <w:r w:rsidR="00DB0A17" w:rsidRPr="005F23C8">
        <w:rPr>
          <w:rFonts w:ascii="Calibri" w:hAnsi="Calibri"/>
          <w:color w:val="000000"/>
          <w:sz w:val="22"/>
          <w:szCs w:val="20"/>
        </w:rPr>
        <w:t>marino-balneare</w:t>
      </w:r>
      <w:proofErr w:type="spellEnd"/>
      <w:r w:rsidR="00DB0A17">
        <w:rPr>
          <w:rFonts w:ascii="Calibri" w:hAnsi="Calibri"/>
          <w:color w:val="000000"/>
          <w:sz w:val="22"/>
          <w:szCs w:val="20"/>
        </w:rPr>
        <w:t xml:space="preserve">, comporta un </w:t>
      </w:r>
      <w:r w:rsidR="00DB0A17" w:rsidRPr="005F23C8">
        <w:rPr>
          <w:rFonts w:ascii="Calibri" w:hAnsi="Calibri"/>
          <w:color w:val="000000"/>
          <w:sz w:val="22"/>
          <w:szCs w:val="20"/>
        </w:rPr>
        <w:t>basso utilizzo delle stru</w:t>
      </w:r>
      <w:r w:rsidR="00DB0A17" w:rsidRPr="005F23C8">
        <w:rPr>
          <w:rFonts w:ascii="Calibri" w:hAnsi="Calibri"/>
          <w:color w:val="000000"/>
          <w:sz w:val="22"/>
          <w:szCs w:val="20"/>
        </w:rPr>
        <w:t>t</w:t>
      </w:r>
      <w:r w:rsidR="00DB0A17" w:rsidRPr="005F23C8">
        <w:rPr>
          <w:rFonts w:ascii="Calibri" w:hAnsi="Calibri"/>
          <w:color w:val="000000"/>
          <w:sz w:val="22"/>
          <w:szCs w:val="20"/>
        </w:rPr>
        <w:t>ture</w:t>
      </w:r>
      <w:r w:rsidR="00DB0A17" w:rsidRPr="00154C15">
        <w:rPr>
          <w:rFonts w:ascii="Calibri" w:hAnsi="Calibri"/>
          <w:color w:val="000000"/>
          <w:sz w:val="22"/>
          <w:szCs w:val="20"/>
        </w:rPr>
        <w:t xml:space="preserve"> </w:t>
      </w:r>
      <w:r w:rsidR="00DB0A17">
        <w:rPr>
          <w:rFonts w:ascii="Calibri" w:hAnsi="Calibri"/>
          <w:color w:val="000000"/>
          <w:sz w:val="22"/>
          <w:szCs w:val="20"/>
        </w:rPr>
        <w:t xml:space="preserve">ricettive 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rispetto al </w:t>
      </w:r>
      <w:r w:rsidR="00DB0A17">
        <w:rPr>
          <w:rFonts w:ascii="Calibri" w:hAnsi="Calibri"/>
          <w:color w:val="000000"/>
          <w:sz w:val="22"/>
          <w:szCs w:val="20"/>
        </w:rPr>
        <w:t xml:space="preserve">loro </w:t>
      </w:r>
      <w:r w:rsidR="00DB0A17" w:rsidRPr="005F23C8">
        <w:rPr>
          <w:rFonts w:ascii="Calibri" w:hAnsi="Calibri"/>
          <w:color w:val="000000"/>
          <w:sz w:val="22"/>
          <w:szCs w:val="20"/>
        </w:rPr>
        <w:t>potenziale</w:t>
      </w:r>
      <w:r w:rsidR="00DB0A17">
        <w:rPr>
          <w:rFonts w:ascii="Calibri" w:hAnsi="Calibri"/>
          <w:color w:val="000000"/>
          <w:sz w:val="22"/>
          <w:szCs w:val="20"/>
        </w:rPr>
        <w:t>. L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’indice di utilizzazione </w:t>
      </w:r>
      <w:r w:rsidR="00DB0A17">
        <w:rPr>
          <w:rFonts w:ascii="Calibri" w:hAnsi="Calibri"/>
          <w:color w:val="000000"/>
          <w:sz w:val="22"/>
          <w:szCs w:val="20"/>
        </w:rPr>
        <w:t xml:space="preserve">si attesta al 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25,9% per </w:t>
      </w:r>
      <w:r w:rsidR="00DB0A17">
        <w:rPr>
          <w:rFonts w:ascii="Calibri" w:hAnsi="Calibri"/>
          <w:color w:val="000000"/>
          <w:sz w:val="22"/>
          <w:szCs w:val="20"/>
        </w:rPr>
        <w:t>le strutture del co</w:t>
      </w:r>
      <w:r w:rsidR="00DB0A17">
        <w:rPr>
          <w:rFonts w:ascii="Calibri" w:hAnsi="Calibri"/>
          <w:color w:val="000000"/>
          <w:sz w:val="22"/>
          <w:szCs w:val="20"/>
        </w:rPr>
        <w:t>m</w:t>
      </w:r>
      <w:r w:rsidR="00DB0A17">
        <w:rPr>
          <w:rFonts w:ascii="Calibri" w:hAnsi="Calibri"/>
          <w:color w:val="000000"/>
          <w:sz w:val="22"/>
          <w:szCs w:val="20"/>
        </w:rPr>
        <w:t>parto alberghiero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 e </w:t>
      </w:r>
      <w:r w:rsidR="00DB0A17">
        <w:rPr>
          <w:rFonts w:ascii="Calibri" w:hAnsi="Calibri"/>
          <w:color w:val="000000"/>
          <w:sz w:val="22"/>
          <w:szCs w:val="20"/>
        </w:rPr>
        <w:t xml:space="preserve">al </w:t>
      </w:r>
      <w:r w:rsidR="00DB0A17" w:rsidRPr="005F23C8">
        <w:rPr>
          <w:rFonts w:ascii="Calibri" w:hAnsi="Calibri"/>
          <w:color w:val="000000"/>
          <w:sz w:val="22"/>
          <w:szCs w:val="20"/>
        </w:rPr>
        <w:t>10,4</w:t>
      </w:r>
      <w:r w:rsidR="00DB0A17">
        <w:rPr>
          <w:rFonts w:ascii="Calibri" w:hAnsi="Calibri"/>
          <w:color w:val="000000"/>
          <w:sz w:val="22"/>
          <w:szCs w:val="20"/>
        </w:rPr>
        <w:t>% per quelle del comparto extralberghiero</w:t>
      </w:r>
      <w:r w:rsidR="00DB0A17" w:rsidRPr="005F23C8">
        <w:rPr>
          <w:rFonts w:ascii="Calibri" w:hAnsi="Calibri"/>
          <w:color w:val="000000"/>
          <w:sz w:val="22"/>
          <w:szCs w:val="20"/>
        </w:rPr>
        <w:t>. Basti pensare che le strutture vengono utilizzate per il 58% nel mese di agosto e solamente pe</w:t>
      </w:r>
      <w:r w:rsidR="00DB0A17">
        <w:rPr>
          <w:rFonts w:ascii="Calibri" w:hAnsi="Calibri"/>
          <w:color w:val="000000"/>
          <w:sz w:val="22"/>
          <w:szCs w:val="20"/>
        </w:rPr>
        <w:t xml:space="preserve">r l’1% nei mesi di gennaio e </w:t>
      </w:r>
      <w:r w:rsidR="00DB0A17" w:rsidRPr="005F23C8">
        <w:rPr>
          <w:rFonts w:ascii="Calibri" w:hAnsi="Calibri"/>
          <w:color w:val="000000"/>
          <w:sz w:val="22"/>
          <w:szCs w:val="20"/>
        </w:rPr>
        <w:t>dicembre</w:t>
      </w:r>
      <w:r w:rsidR="00DB0A17">
        <w:rPr>
          <w:rFonts w:ascii="Calibri" w:hAnsi="Calibri"/>
          <w:color w:val="000000"/>
          <w:sz w:val="22"/>
          <w:szCs w:val="20"/>
        </w:rPr>
        <w:t>. Sebbene le qu</w:t>
      </w:r>
      <w:r w:rsidR="00DB0A17">
        <w:rPr>
          <w:rFonts w:ascii="Calibri" w:hAnsi="Calibri"/>
          <w:color w:val="000000"/>
          <w:sz w:val="22"/>
          <w:szCs w:val="20"/>
        </w:rPr>
        <w:t>o</w:t>
      </w:r>
      <w:r w:rsidR="00DB0A17">
        <w:rPr>
          <w:rFonts w:ascii="Calibri" w:hAnsi="Calibri"/>
          <w:color w:val="000000"/>
          <w:sz w:val="22"/>
          <w:szCs w:val="20"/>
        </w:rPr>
        <w:t>te di utilizzo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 </w:t>
      </w:r>
      <w:r w:rsidR="00DB0A17">
        <w:rPr>
          <w:rFonts w:ascii="Calibri" w:hAnsi="Calibri"/>
          <w:color w:val="000000"/>
          <w:sz w:val="22"/>
          <w:szCs w:val="20"/>
        </w:rPr>
        <w:t xml:space="preserve">siano 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inferiori alla media italiana e corsa, la </w:t>
      </w:r>
      <w:r w:rsidR="00DB0A17">
        <w:rPr>
          <w:rFonts w:ascii="Calibri" w:hAnsi="Calibri"/>
          <w:color w:val="000000"/>
          <w:sz w:val="22"/>
          <w:szCs w:val="20"/>
        </w:rPr>
        <w:t xml:space="preserve">nota positiva è che la 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Sardegna è in linea con le altre regioni </w:t>
      </w:r>
      <w:r w:rsidR="00DB0A17" w:rsidRPr="00DB0A17">
        <w:rPr>
          <w:rFonts w:ascii="Calibri" w:hAnsi="Calibri"/>
          <w:i/>
          <w:color w:val="000000"/>
          <w:sz w:val="22"/>
          <w:szCs w:val="20"/>
        </w:rPr>
        <w:t>competitor</w:t>
      </w:r>
      <w:r w:rsidR="00DB0A17" w:rsidRPr="005F23C8">
        <w:rPr>
          <w:rFonts w:ascii="Calibri" w:hAnsi="Calibri"/>
          <w:color w:val="000000"/>
          <w:sz w:val="22"/>
          <w:szCs w:val="20"/>
        </w:rPr>
        <w:t xml:space="preserve"> del Sud Italia</w:t>
      </w:r>
      <w:r w:rsidR="00DB0A17">
        <w:rPr>
          <w:rFonts w:ascii="Calibri" w:hAnsi="Calibri"/>
          <w:color w:val="000000"/>
          <w:sz w:val="22"/>
          <w:szCs w:val="20"/>
        </w:rPr>
        <w:t xml:space="preserve"> </w:t>
      </w:r>
      <w:r w:rsidR="00D76930">
        <w:rPr>
          <w:rFonts w:ascii="Calibri" w:hAnsi="Calibri"/>
          <w:color w:val="000000"/>
          <w:sz w:val="22"/>
          <w:szCs w:val="20"/>
        </w:rPr>
        <w:t>e</w:t>
      </w:r>
      <w:r w:rsidR="005E58D2">
        <w:rPr>
          <w:rFonts w:ascii="Calibri" w:hAnsi="Calibri"/>
          <w:color w:val="000000"/>
          <w:sz w:val="22"/>
          <w:szCs w:val="20"/>
        </w:rPr>
        <w:t xml:space="preserve"> che</w:t>
      </w:r>
      <w:r w:rsidR="00DB0A17">
        <w:rPr>
          <w:rFonts w:ascii="Calibri" w:hAnsi="Calibri"/>
          <w:color w:val="000000"/>
          <w:sz w:val="22"/>
          <w:szCs w:val="20"/>
        </w:rPr>
        <w:t>, negli ultimi anni, ha sperimentato u</w:t>
      </w:r>
      <w:r w:rsidR="00DB0A17" w:rsidRPr="005F23C8">
        <w:rPr>
          <w:rFonts w:ascii="Calibri" w:hAnsi="Calibri"/>
          <w:color w:val="000000"/>
          <w:sz w:val="22"/>
          <w:szCs w:val="20"/>
        </w:rPr>
        <w:t>n m</w:t>
      </w:r>
      <w:r w:rsidR="00DB0A17">
        <w:rPr>
          <w:rFonts w:ascii="Calibri" w:hAnsi="Calibri"/>
          <w:color w:val="000000"/>
          <w:sz w:val="22"/>
          <w:szCs w:val="20"/>
        </w:rPr>
        <w:t>iglioramento. L'aumento de</w:t>
      </w:r>
      <w:r w:rsidRPr="005F23C8">
        <w:rPr>
          <w:rFonts w:ascii="Calibri" w:hAnsi="Calibri"/>
          <w:color w:val="000000"/>
          <w:sz w:val="22"/>
          <w:szCs w:val="20"/>
        </w:rPr>
        <w:t xml:space="preserve">i </w:t>
      </w:r>
      <w:r w:rsidR="00975949">
        <w:rPr>
          <w:rFonts w:ascii="Calibri" w:hAnsi="Calibri"/>
          <w:color w:val="000000"/>
          <w:sz w:val="22"/>
          <w:szCs w:val="20"/>
        </w:rPr>
        <w:t xml:space="preserve">turisti </w:t>
      </w:r>
      <w:r w:rsidRPr="005F23C8">
        <w:rPr>
          <w:rFonts w:ascii="Calibri" w:hAnsi="Calibri"/>
          <w:color w:val="000000"/>
          <w:sz w:val="22"/>
          <w:szCs w:val="20"/>
        </w:rPr>
        <w:t>inter</w:t>
      </w:r>
      <w:r w:rsidR="00DB0A17">
        <w:rPr>
          <w:rFonts w:ascii="Calibri" w:hAnsi="Calibri"/>
          <w:color w:val="000000"/>
          <w:sz w:val="22"/>
          <w:szCs w:val="20"/>
        </w:rPr>
        <w:t xml:space="preserve">nazionali, il cui numero supera quello dei turisti nazionali nei </w:t>
      </w:r>
      <w:r w:rsidRPr="005F23C8">
        <w:rPr>
          <w:rFonts w:ascii="Calibri" w:hAnsi="Calibri"/>
          <w:color w:val="000000"/>
          <w:sz w:val="22"/>
          <w:szCs w:val="20"/>
        </w:rPr>
        <w:t>mesi cosiddetti “di spalla” (aprile, maggio, giugno, settembre e ottobre)</w:t>
      </w:r>
      <w:r w:rsidR="00DB0A17">
        <w:rPr>
          <w:rFonts w:ascii="Calibri" w:hAnsi="Calibri"/>
          <w:color w:val="000000"/>
          <w:sz w:val="22"/>
          <w:szCs w:val="20"/>
        </w:rPr>
        <w:t xml:space="preserve">, sta dunque </w:t>
      </w:r>
      <w:r w:rsidR="005E58D2">
        <w:rPr>
          <w:rFonts w:ascii="Calibri" w:hAnsi="Calibri"/>
          <w:color w:val="000000"/>
          <w:sz w:val="22"/>
          <w:szCs w:val="20"/>
        </w:rPr>
        <w:t xml:space="preserve">contribuendo al processo </w:t>
      </w:r>
      <w:r w:rsidR="00DB0A17">
        <w:rPr>
          <w:rFonts w:ascii="Calibri" w:hAnsi="Calibri"/>
          <w:color w:val="000000"/>
          <w:sz w:val="22"/>
          <w:szCs w:val="20"/>
        </w:rPr>
        <w:t>di destagionalizzazione, partic</w:t>
      </w:r>
      <w:r w:rsidR="00DB0A17">
        <w:rPr>
          <w:rFonts w:ascii="Calibri" w:hAnsi="Calibri"/>
          <w:color w:val="000000"/>
          <w:sz w:val="22"/>
          <w:szCs w:val="20"/>
        </w:rPr>
        <w:t>o</w:t>
      </w:r>
      <w:r w:rsidR="00DB0A17">
        <w:rPr>
          <w:rFonts w:ascii="Calibri" w:hAnsi="Calibri"/>
          <w:color w:val="000000"/>
          <w:sz w:val="22"/>
          <w:szCs w:val="20"/>
        </w:rPr>
        <w:t xml:space="preserve">larmente importante per i suoi effetti positivi: una minore concentrazione turistica rende il settore </w:t>
      </w:r>
      <w:r w:rsidR="007A0CB0">
        <w:rPr>
          <w:rFonts w:ascii="Calibri" w:hAnsi="Calibri"/>
          <w:color w:val="000000"/>
          <w:sz w:val="22"/>
          <w:szCs w:val="20"/>
        </w:rPr>
        <w:t>più sost</w:t>
      </w:r>
      <w:r w:rsidR="007A0CB0">
        <w:rPr>
          <w:rFonts w:ascii="Calibri" w:hAnsi="Calibri"/>
          <w:color w:val="000000"/>
          <w:sz w:val="22"/>
          <w:szCs w:val="20"/>
        </w:rPr>
        <w:t>e</w:t>
      </w:r>
      <w:r w:rsidR="007A0CB0">
        <w:rPr>
          <w:rFonts w:ascii="Calibri" w:hAnsi="Calibri"/>
          <w:color w:val="000000"/>
          <w:sz w:val="22"/>
          <w:szCs w:val="20"/>
        </w:rPr>
        <w:t>nibile dal punto di vista ambientale e più attrattivo dal punto di vista imprenditoriale.</w:t>
      </w:r>
    </w:p>
    <w:p w:rsidR="00154C15" w:rsidRPr="00975949" w:rsidRDefault="007A0CB0" w:rsidP="00975949">
      <w:pPr>
        <w:spacing w:after="0"/>
        <w:outlineLvl w:val="0"/>
        <w:rPr>
          <w:rFonts w:ascii="Calibri" w:hAnsi="Calibri"/>
          <w:color w:val="000000"/>
          <w:sz w:val="22"/>
          <w:szCs w:val="20"/>
        </w:rPr>
      </w:pPr>
      <w:r>
        <w:rPr>
          <w:rFonts w:ascii="Calibri" w:hAnsi="Calibri"/>
          <w:color w:val="000000"/>
          <w:sz w:val="22"/>
          <w:szCs w:val="20"/>
        </w:rPr>
        <w:t>Per quanto riguarda l'offerta ricettiva, n</w:t>
      </w:r>
      <w:r w:rsidR="00154C15" w:rsidRPr="005F23C8">
        <w:rPr>
          <w:rFonts w:ascii="Calibri" w:hAnsi="Calibri"/>
          <w:color w:val="000000"/>
          <w:sz w:val="22"/>
          <w:szCs w:val="20"/>
        </w:rPr>
        <w:t xml:space="preserve">el 2017 aumentano </w:t>
      </w:r>
      <w:r>
        <w:rPr>
          <w:rFonts w:ascii="Calibri" w:hAnsi="Calibri"/>
          <w:color w:val="000000"/>
          <w:sz w:val="22"/>
          <w:szCs w:val="20"/>
        </w:rPr>
        <w:t>sia l</w:t>
      </w:r>
      <w:r w:rsidR="00154C15" w:rsidRPr="005F23C8">
        <w:rPr>
          <w:rFonts w:ascii="Calibri" w:hAnsi="Calibri"/>
          <w:color w:val="000000"/>
          <w:sz w:val="22"/>
          <w:szCs w:val="20"/>
        </w:rPr>
        <w:t xml:space="preserve">e strutture  (+1,2%), </w:t>
      </w:r>
      <w:r>
        <w:rPr>
          <w:rFonts w:ascii="Calibri" w:hAnsi="Calibri"/>
          <w:color w:val="000000"/>
          <w:sz w:val="22"/>
          <w:szCs w:val="20"/>
        </w:rPr>
        <w:t>sia</w:t>
      </w:r>
      <w:r w:rsidR="00154C15" w:rsidRPr="005F23C8">
        <w:rPr>
          <w:rFonts w:ascii="Calibri" w:hAnsi="Calibri"/>
          <w:color w:val="000000"/>
          <w:sz w:val="22"/>
          <w:szCs w:val="20"/>
        </w:rPr>
        <w:t xml:space="preserve"> i posti letto (+0,9%). In particolare</w:t>
      </w:r>
      <w:r w:rsidR="00154C15">
        <w:rPr>
          <w:rFonts w:ascii="Calibri" w:hAnsi="Calibri"/>
          <w:color w:val="000000"/>
          <w:sz w:val="22"/>
          <w:szCs w:val="20"/>
        </w:rPr>
        <w:t>,</w:t>
      </w:r>
      <w:r w:rsidR="00154C15" w:rsidRPr="005F23C8">
        <w:rPr>
          <w:rFonts w:ascii="Calibri" w:hAnsi="Calibri"/>
          <w:color w:val="000000"/>
          <w:sz w:val="22"/>
          <w:szCs w:val="20"/>
        </w:rPr>
        <w:t xml:space="preserve"> si rileva un aumento delle strutture alberghiere di </w:t>
      </w:r>
      <w:proofErr w:type="spellStart"/>
      <w:r w:rsidR="00154C15" w:rsidRPr="005F23C8">
        <w:rPr>
          <w:rFonts w:ascii="Calibri" w:hAnsi="Calibri"/>
          <w:color w:val="000000"/>
          <w:sz w:val="22"/>
          <w:szCs w:val="20"/>
        </w:rPr>
        <w:t>medio-alta</w:t>
      </w:r>
      <w:proofErr w:type="spellEnd"/>
      <w:r w:rsidR="00154C15" w:rsidRPr="005F23C8">
        <w:rPr>
          <w:rFonts w:ascii="Calibri" w:hAnsi="Calibri"/>
          <w:color w:val="000000"/>
          <w:sz w:val="22"/>
          <w:szCs w:val="20"/>
        </w:rPr>
        <w:t xml:space="preserve"> qualità (13 hotel 3-4 stelle in più r</w:t>
      </w:r>
      <w:r w:rsidR="00154C15" w:rsidRPr="005F23C8">
        <w:rPr>
          <w:rFonts w:ascii="Calibri" w:hAnsi="Calibri"/>
          <w:color w:val="000000"/>
          <w:sz w:val="22"/>
          <w:szCs w:val="20"/>
        </w:rPr>
        <w:t>i</w:t>
      </w:r>
      <w:r w:rsidR="00154C15" w:rsidRPr="005F23C8">
        <w:rPr>
          <w:rFonts w:ascii="Calibri" w:hAnsi="Calibri"/>
          <w:color w:val="000000"/>
          <w:sz w:val="22"/>
          <w:szCs w:val="20"/>
        </w:rPr>
        <w:t>spetto al 2016) mentre diminuisco</w:t>
      </w:r>
      <w:r w:rsidR="00154C15">
        <w:rPr>
          <w:rFonts w:ascii="Calibri" w:hAnsi="Calibri"/>
          <w:color w:val="000000"/>
          <w:sz w:val="22"/>
          <w:szCs w:val="20"/>
        </w:rPr>
        <w:t>no quelle</w:t>
      </w:r>
      <w:r w:rsidR="00154C15" w:rsidRPr="005F23C8">
        <w:rPr>
          <w:rFonts w:ascii="Calibri" w:hAnsi="Calibri"/>
          <w:color w:val="000000"/>
          <w:sz w:val="22"/>
          <w:szCs w:val="20"/>
        </w:rPr>
        <w:t xml:space="preserve"> di qualità più bassa. </w:t>
      </w:r>
    </w:p>
    <w:sectPr w:rsidR="00154C15" w:rsidRPr="00975949" w:rsidSect="006A0F01">
      <w:headerReference w:type="default" r:id="rId8"/>
      <w:footerReference w:type="even" r:id="rId9"/>
      <w:footerReference w:type="default" r:id="rId10"/>
      <w:pgSz w:w="11906" w:h="16838"/>
      <w:pgMar w:top="1134" w:right="1021" w:bottom="1134" w:left="1021" w:header="709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2A6" w:rsidRDefault="002162A6">
      <w:r>
        <w:separator/>
      </w:r>
    </w:p>
  </w:endnote>
  <w:endnote w:type="continuationSeparator" w:id="0">
    <w:p w:rsidR="002162A6" w:rsidRDefault="002162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C13" w:rsidRDefault="008564A2" w:rsidP="00935CD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B63C13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63C13" w:rsidRDefault="00B63C13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C13" w:rsidRDefault="00B63C13" w:rsidP="005013F7">
    <w:pPr>
      <w:pStyle w:val="Pidipagina"/>
      <w:spacing w:line="240" w:lineRule="auto"/>
      <w:rPr>
        <w:color w:val="344274"/>
        <w:szCs w:val="16"/>
      </w:rPr>
    </w:pPr>
    <w:r>
      <w:rPr>
        <w:rStyle w:val="Numeropagina"/>
      </w:rPr>
      <w:tab/>
    </w:r>
    <w:r w:rsidRPr="005013F7">
      <w:rPr>
        <w:rStyle w:val="Numeropagina"/>
      </w:rPr>
      <w:t xml:space="preserve">- </w:t>
    </w:r>
    <w:r w:rsidR="008564A2" w:rsidRPr="005013F7">
      <w:rPr>
        <w:rStyle w:val="Numeropagina"/>
      </w:rPr>
      <w:fldChar w:fldCharType="begin"/>
    </w:r>
    <w:r w:rsidRPr="005013F7">
      <w:rPr>
        <w:rStyle w:val="Numeropagina"/>
      </w:rPr>
      <w:instrText xml:space="preserve"> PAGE </w:instrText>
    </w:r>
    <w:r w:rsidR="008564A2" w:rsidRPr="005013F7">
      <w:rPr>
        <w:rStyle w:val="Numeropagina"/>
      </w:rPr>
      <w:fldChar w:fldCharType="separate"/>
    </w:r>
    <w:r w:rsidR="0074099A">
      <w:rPr>
        <w:rStyle w:val="Numeropagina"/>
        <w:noProof/>
      </w:rPr>
      <w:t>1</w:t>
    </w:r>
    <w:r w:rsidR="008564A2" w:rsidRPr="005013F7">
      <w:rPr>
        <w:rStyle w:val="Numeropagina"/>
      </w:rPr>
      <w:fldChar w:fldCharType="end"/>
    </w:r>
    <w:r w:rsidRPr="005013F7">
      <w:rPr>
        <w:rStyle w:val="Numeropagina"/>
      </w:rPr>
      <w:t xml:space="preserve"> -</w:t>
    </w:r>
  </w:p>
  <w:p w:rsidR="00B63C13" w:rsidRDefault="00B63C13" w:rsidP="00BB108F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2A6" w:rsidRDefault="002162A6">
      <w:r>
        <w:separator/>
      </w:r>
    </w:p>
  </w:footnote>
  <w:footnote w:type="continuationSeparator" w:id="0">
    <w:p w:rsidR="002162A6" w:rsidRDefault="002162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C13" w:rsidRDefault="00B63C13" w:rsidP="00366008">
    <w:pPr>
      <w:pStyle w:val="Intestazione"/>
      <w:ind w:left="-142"/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5361305</wp:posOffset>
          </wp:positionH>
          <wp:positionV relativeFrom="paragraph">
            <wp:posOffset>-104775</wp:posOffset>
          </wp:positionV>
          <wp:extent cx="788670" cy="330200"/>
          <wp:effectExtent l="19050" t="0" r="0" b="0"/>
          <wp:wrapSquare wrapText="bothSides"/>
          <wp:docPr id="3" name="Immagine 2" descr="logo crenos 2016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crenos 2016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8670" cy="33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10795</wp:posOffset>
          </wp:positionH>
          <wp:positionV relativeFrom="paragraph">
            <wp:posOffset>-111760</wp:posOffset>
          </wp:positionV>
          <wp:extent cx="2075180" cy="330200"/>
          <wp:effectExtent l="19050" t="0" r="1270" b="0"/>
          <wp:wrapNone/>
          <wp:docPr id="4" name="Immagine 3" descr="logo crenos territorio 2016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crenos territorio 2016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075180" cy="33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  <w:p w:rsidR="00B63C13" w:rsidRDefault="008564A2" w:rsidP="00533740">
    <w:pPr>
      <w:pStyle w:val="Intestazione"/>
      <w:spacing w:line="240" w:lineRule="auto"/>
      <w:ind w:left="-142"/>
    </w:pPr>
    <w:r w:rsidRPr="008564A2">
      <w:rPr>
        <w:noProof/>
        <w:lang w:val="en-US" w:eastAsia="en-US"/>
      </w:rPr>
      <w:pict>
        <v:line id="Line 13" o:spid="_x0000_s2049" style="position:absolute;left:0;text-align:left;flip:y;z-index:251656704;visibility:visible;mso-position-horizontal-relative:margin" from="0,2.1pt" to="486pt,3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" strokecolor="#85aadf" strokeweight="1.5pt">
          <w10:wrap anchorx="margin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5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Verdana" w:hAnsi="Verdana" w:cs="Times New Roman"/>
      </w:rPr>
    </w:lvl>
  </w:abstractNum>
  <w:abstractNum w:abstractNumId="3">
    <w:nsid w:val="00000004"/>
    <w:multiLevelType w:val="singleLevel"/>
    <w:tmpl w:val="00000004"/>
    <w:name w:val="WW8Num6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Verdana" w:hAnsi="Verdana" w:cs="Times New Roman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1990"/>
        </w:tabs>
        <w:ind w:left="415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5">
    <w:nsid w:val="00000006"/>
    <w:multiLevelType w:val="singleLevel"/>
    <w:tmpl w:val="00000006"/>
    <w:name w:val="WW8Num8"/>
    <w:lvl w:ilvl="0"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Verdana" w:hAnsi="Verdana" w:cs="Times New Roman"/>
      </w:rPr>
    </w:lvl>
  </w:abstractNum>
  <w:abstractNum w:abstractNumId="6">
    <w:nsid w:val="01C33583"/>
    <w:multiLevelType w:val="hybridMultilevel"/>
    <w:tmpl w:val="3BAC8D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D23C60"/>
    <w:multiLevelType w:val="hybridMultilevel"/>
    <w:tmpl w:val="D83C07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B901FF"/>
    <w:multiLevelType w:val="hybridMultilevel"/>
    <w:tmpl w:val="7046C1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135CC1"/>
    <w:multiLevelType w:val="hybridMultilevel"/>
    <w:tmpl w:val="4F827D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9132E3"/>
    <w:multiLevelType w:val="hybridMultilevel"/>
    <w:tmpl w:val="4D52C808"/>
    <w:lvl w:ilvl="0" w:tplc="0CF8E352">
      <w:start w:val="1"/>
      <w:numFmt w:val="bullet"/>
      <w:pStyle w:val="Elenco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EC573A0"/>
    <w:multiLevelType w:val="hybridMultilevel"/>
    <w:tmpl w:val="D7B008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1"/>
  </w:num>
  <w:num w:numId="9">
    <w:abstractNumId w:val="9"/>
  </w:num>
  <w:num w:numId="10">
    <w:abstractNumId w:val="7"/>
  </w:num>
  <w:num w:numId="11">
    <w:abstractNumId w:val="10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attachedTemplate r:id="rId1"/>
  <w:stylePaneFormatFilter w:val="3F01"/>
  <w:defaultTabStop w:val="708"/>
  <w:autoHyphenation/>
  <w:hyphenationZone w:val="283"/>
  <w:noPunctuationKerning/>
  <w:characterSpacingControl w:val="doNotCompress"/>
  <w:hdrShapeDefaults>
    <o:shapedefaults v:ext="edit" spidmax="6146">
      <o:colormru v:ext="edit" colors="#344274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B20A4"/>
    <w:rsid w:val="00000FF8"/>
    <w:rsid w:val="00003E12"/>
    <w:rsid w:val="00014706"/>
    <w:rsid w:val="00022EBC"/>
    <w:rsid w:val="00025A6B"/>
    <w:rsid w:val="00025F51"/>
    <w:rsid w:val="000334CF"/>
    <w:rsid w:val="00040C1F"/>
    <w:rsid w:val="00044FDF"/>
    <w:rsid w:val="000467FA"/>
    <w:rsid w:val="00050AFE"/>
    <w:rsid w:val="00051563"/>
    <w:rsid w:val="0005264C"/>
    <w:rsid w:val="0005300B"/>
    <w:rsid w:val="00055B1E"/>
    <w:rsid w:val="00056164"/>
    <w:rsid w:val="00062421"/>
    <w:rsid w:val="000626E8"/>
    <w:rsid w:val="00066A10"/>
    <w:rsid w:val="00066D38"/>
    <w:rsid w:val="0007298B"/>
    <w:rsid w:val="000803B8"/>
    <w:rsid w:val="00081E64"/>
    <w:rsid w:val="000935B1"/>
    <w:rsid w:val="000A3BC6"/>
    <w:rsid w:val="000B14F7"/>
    <w:rsid w:val="000B3D57"/>
    <w:rsid w:val="000B454B"/>
    <w:rsid w:val="000D76C2"/>
    <w:rsid w:val="000E63F3"/>
    <w:rsid w:val="000E7200"/>
    <w:rsid w:val="000F2D27"/>
    <w:rsid w:val="000F32E7"/>
    <w:rsid w:val="000F62DE"/>
    <w:rsid w:val="001014B4"/>
    <w:rsid w:val="00101ECB"/>
    <w:rsid w:val="001050CA"/>
    <w:rsid w:val="0010568C"/>
    <w:rsid w:val="00111A4C"/>
    <w:rsid w:val="00111FE0"/>
    <w:rsid w:val="00117FAD"/>
    <w:rsid w:val="0013113E"/>
    <w:rsid w:val="00131EFD"/>
    <w:rsid w:val="00134E25"/>
    <w:rsid w:val="001409BB"/>
    <w:rsid w:val="0014304B"/>
    <w:rsid w:val="001441FE"/>
    <w:rsid w:val="00147B7D"/>
    <w:rsid w:val="00150F70"/>
    <w:rsid w:val="00154C15"/>
    <w:rsid w:val="0015691B"/>
    <w:rsid w:val="001569BE"/>
    <w:rsid w:val="00160934"/>
    <w:rsid w:val="001669C5"/>
    <w:rsid w:val="001711CD"/>
    <w:rsid w:val="0017269A"/>
    <w:rsid w:val="001735A1"/>
    <w:rsid w:val="0017665A"/>
    <w:rsid w:val="0017707D"/>
    <w:rsid w:val="0017796A"/>
    <w:rsid w:val="001779D4"/>
    <w:rsid w:val="00182A0A"/>
    <w:rsid w:val="00190524"/>
    <w:rsid w:val="00195FD4"/>
    <w:rsid w:val="001979F0"/>
    <w:rsid w:val="001B5196"/>
    <w:rsid w:val="001B6B62"/>
    <w:rsid w:val="001C2B3F"/>
    <w:rsid w:val="001C307F"/>
    <w:rsid w:val="001C32D0"/>
    <w:rsid w:val="001D5682"/>
    <w:rsid w:val="001D74EF"/>
    <w:rsid w:val="001E2CF0"/>
    <w:rsid w:val="001E2FAF"/>
    <w:rsid w:val="001E36CA"/>
    <w:rsid w:val="001E45D3"/>
    <w:rsid w:val="001F0CB4"/>
    <w:rsid w:val="001F5BCE"/>
    <w:rsid w:val="001F600E"/>
    <w:rsid w:val="001F748B"/>
    <w:rsid w:val="001F769A"/>
    <w:rsid w:val="00203733"/>
    <w:rsid w:val="00206639"/>
    <w:rsid w:val="002162A6"/>
    <w:rsid w:val="0021731A"/>
    <w:rsid w:val="0021745D"/>
    <w:rsid w:val="0022160D"/>
    <w:rsid w:val="0022175B"/>
    <w:rsid w:val="0022366E"/>
    <w:rsid w:val="00224852"/>
    <w:rsid w:val="00230E63"/>
    <w:rsid w:val="00232C29"/>
    <w:rsid w:val="00234693"/>
    <w:rsid w:val="002373D9"/>
    <w:rsid w:val="00240868"/>
    <w:rsid w:val="00241104"/>
    <w:rsid w:val="00241FFC"/>
    <w:rsid w:val="0024209C"/>
    <w:rsid w:val="0024718F"/>
    <w:rsid w:val="00257D81"/>
    <w:rsid w:val="00261EC0"/>
    <w:rsid w:val="00267B6D"/>
    <w:rsid w:val="002700DE"/>
    <w:rsid w:val="0027678D"/>
    <w:rsid w:val="00286258"/>
    <w:rsid w:val="0028674A"/>
    <w:rsid w:val="00295AAB"/>
    <w:rsid w:val="002A44C3"/>
    <w:rsid w:val="002B3DCE"/>
    <w:rsid w:val="002C260B"/>
    <w:rsid w:val="002D13EF"/>
    <w:rsid w:val="002D2B0C"/>
    <w:rsid w:val="002D746B"/>
    <w:rsid w:val="002E0385"/>
    <w:rsid w:val="002E73D5"/>
    <w:rsid w:val="002F057E"/>
    <w:rsid w:val="002F2C39"/>
    <w:rsid w:val="002F45EE"/>
    <w:rsid w:val="00300D07"/>
    <w:rsid w:val="003065DB"/>
    <w:rsid w:val="0030701A"/>
    <w:rsid w:val="00307434"/>
    <w:rsid w:val="00311D05"/>
    <w:rsid w:val="00322196"/>
    <w:rsid w:val="00324E20"/>
    <w:rsid w:val="003317F8"/>
    <w:rsid w:val="00331C90"/>
    <w:rsid w:val="00352756"/>
    <w:rsid w:val="00363BF8"/>
    <w:rsid w:val="00365078"/>
    <w:rsid w:val="00366008"/>
    <w:rsid w:val="00372B12"/>
    <w:rsid w:val="00372FC9"/>
    <w:rsid w:val="00375B5B"/>
    <w:rsid w:val="00377C80"/>
    <w:rsid w:val="003847E4"/>
    <w:rsid w:val="00384EDD"/>
    <w:rsid w:val="00386320"/>
    <w:rsid w:val="0039011C"/>
    <w:rsid w:val="00391468"/>
    <w:rsid w:val="0039266C"/>
    <w:rsid w:val="00394808"/>
    <w:rsid w:val="003A6D17"/>
    <w:rsid w:val="003A78D2"/>
    <w:rsid w:val="003B02DB"/>
    <w:rsid w:val="003B20F4"/>
    <w:rsid w:val="003C0546"/>
    <w:rsid w:val="003C1830"/>
    <w:rsid w:val="003C31A6"/>
    <w:rsid w:val="003D49F2"/>
    <w:rsid w:val="003D5451"/>
    <w:rsid w:val="003D7083"/>
    <w:rsid w:val="003E178B"/>
    <w:rsid w:val="003E196A"/>
    <w:rsid w:val="003E2149"/>
    <w:rsid w:val="003E46B9"/>
    <w:rsid w:val="003F4FBF"/>
    <w:rsid w:val="00405E0B"/>
    <w:rsid w:val="00410DAE"/>
    <w:rsid w:val="004128E8"/>
    <w:rsid w:val="004134ED"/>
    <w:rsid w:val="00413C81"/>
    <w:rsid w:val="00425512"/>
    <w:rsid w:val="00431FCB"/>
    <w:rsid w:val="0043402B"/>
    <w:rsid w:val="0043615D"/>
    <w:rsid w:val="00436EDB"/>
    <w:rsid w:val="004404D8"/>
    <w:rsid w:val="00442DCF"/>
    <w:rsid w:val="00442EEB"/>
    <w:rsid w:val="004436C5"/>
    <w:rsid w:val="0045237D"/>
    <w:rsid w:val="00455CEA"/>
    <w:rsid w:val="00461281"/>
    <w:rsid w:val="004779F7"/>
    <w:rsid w:val="004835F1"/>
    <w:rsid w:val="004852DA"/>
    <w:rsid w:val="00490178"/>
    <w:rsid w:val="00492D09"/>
    <w:rsid w:val="00496656"/>
    <w:rsid w:val="004A5E64"/>
    <w:rsid w:val="004A6786"/>
    <w:rsid w:val="004A7366"/>
    <w:rsid w:val="004A7D7A"/>
    <w:rsid w:val="004B5D4D"/>
    <w:rsid w:val="004B75D6"/>
    <w:rsid w:val="004C06E7"/>
    <w:rsid w:val="004C391D"/>
    <w:rsid w:val="004C48FF"/>
    <w:rsid w:val="004C72A5"/>
    <w:rsid w:val="004C778C"/>
    <w:rsid w:val="004D0463"/>
    <w:rsid w:val="004D1E97"/>
    <w:rsid w:val="004D464E"/>
    <w:rsid w:val="004E01A2"/>
    <w:rsid w:val="004E7EE0"/>
    <w:rsid w:val="004F4D4C"/>
    <w:rsid w:val="005013F7"/>
    <w:rsid w:val="0050556D"/>
    <w:rsid w:val="00507729"/>
    <w:rsid w:val="00507916"/>
    <w:rsid w:val="0051250B"/>
    <w:rsid w:val="00520D1C"/>
    <w:rsid w:val="00531D89"/>
    <w:rsid w:val="00533740"/>
    <w:rsid w:val="00536E17"/>
    <w:rsid w:val="00537D3C"/>
    <w:rsid w:val="005415D9"/>
    <w:rsid w:val="005421DC"/>
    <w:rsid w:val="005431FE"/>
    <w:rsid w:val="00543A11"/>
    <w:rsid w:val="005454F1"/>
    <w:rsid w:val="005524E5"/>
    <w:rsid w:val="00561D39"/>
    <w:rsid w:val="00572388"/>
    <w:rsid w:val="0058023A"/>
    <w:rsid w:val="00580878"/>
    <w:rsid w:val="005854ED"/>
    <w:rsid w:val="0058783E"/>
    <w:rsid w:val="00587917"/>
    <w:rsid w:val="0059170F"/>
    <w:rsid w:val="00592ABE"/>
    <w:rsid w:val="005956FF"/>
    <w:rsid w:val="005975CC"/>
    <w:rsid w:val="005978D8"/>
    <w:rsid w:val="005A2CDF"/>
    <w:rsid w:val="005A4ABD"/>
    <w:rsid w:val="005B20A4"/>
    <w:rsid w:val="005B20E1"/>
    <w:rsid w:val="005B3CE8"/>
    <w:rsid w:val="005C1EC2"/>
    <w:rsid w:val="005C205C"/>
    <w:rsid w:val="005C4392"/>
    <w:rsid w:val="005C73A0"/>
    <w:rsid w:val="005D0918"/>
    <w:rsid w:val="005D33AE"/>
    <w:rsid w:val="005E4EF6"/>
    <w:rsid w:val="005E58D2"/>
    <w:rsid w:val="005F29F3"/>
    <w:rsid w:val="005F4905"/>
    <w:rsid w:val="005F4AE0"/>
    <w:rsid w:val="00605B2D"/>
    <w:rsid w:val="00610301"/>
    <w:rsid w:val="00620022"/>
    <w:rsid w:val="0062272A"/>
    <w:rsid w:val="006346E5"/>
    <w:rsid w:val="0064719B"/>
    <w:rsid w:val="00655A35"/>
    <w:rsid w:val="0066106B"/>
    <w:rsid w:val="00661779"/>
    <w:rsid w:val="00672B38"/>
    <w:rsid w:val="006765FC"/>
    <w:rsid w:val="00676668"/>
    <w:rsid w:val="00676B8C"/>
    <w:rsid w:val="00683AA9"/>
    <w:rsid w:val="00686ADD"/>
    <w:rsid w:val="00690B62"/>
    <w:rsid w:val="006941A5"/>
    <w:rsid w:val="006A0F01"/>
    <w:rsid w:val="006A58E2"/>
    <w:rsid w:val="006B171D"/>
    <w:rsid w:val="006B24E7"/>
    <w:rsid w:val="006B6CE5"/>
    <w:rsid w:val="006B6DA6"/>
    <w:rsid w:val="006B7987"/>
    <w:rsid w:val="006C0886"/>
    <w:rsid w:val="006C14C0"/>
    <w:rsid w:val="006C4953"/>
    <w:rsid w:val="006C6E41"/>
    <w:rsid w:val="006D7779"/>
    <w:rsid w:val="006E3317"/>
    <w:rsid w:val="006E38AE"/>
    <w:rsid w:val="006E5533"/>
    <w:rsid w:val="006F0225"/>
    <w:rsid w:val="006F1203"/>
    <w:rsid w:val="006F24AE"/>
    <w:rsid w:val="00700912"/>
    <w:rsid w:val="0070136E"/>
    <w:rsid w:val="00703523"/>
    <w:rsid w:val="007040D1"/>
    <w:rsid w:val="0071051D"/>
    <w:rsid w:val="00720C10"/>
    <w:rsid w:val="00724DB3"/>
    <w:rsid w:val="00726912"/>
    <w:rsid w:val="00726C16"/>
    <w:rsid w:val="00727565"/>
    <w:rsid w:val="00734BBD"/>
    <w:rsid w:val="0074011F"/>
    <w:rsid w:val="0074099A"/>
    <w:rsid w:val="007459A6"/>
    <w:rsid w:val="00764B10"/>
    <w:rsid w:val="007659C9"/>
    <w:rsid w:val="00766745"/>
    <w:rsid w:val="00767BF4"/>
    <w:rsid w:val="00772E85"/>
    <w:rsid w:val="00774432"/>
    <w:rsid w:val="007811B1"/>
    <w:rsid w:val="0078456B"/>
    <w:rsid w:val="00785ACA"/>
    <w:rsid w:val="00793B52"/>
    <w:rsid w:val="00796B5F"/>
    <w:rsid w:val="007A0CB0"/>
    <w:rsid w:val="007C2195"/>
    <w:rsid w:val="007C3838"/>
    <w:rsid w:val="007D1443"/>
    <w:rsid w:val="007E0DDB"/>
    <w:rsid w:val="007E10F0"/>
    <w:rsid w:val="007E2E17"/>
    <w:rsid w:val="007E3C2B"/>
    <w:rsid w:val="007E4022"/>
    <w:rsid w:val="007E7321"/>
    <w:rsid w:val="007F04E2"/>
    <w:rsid w:val="007F70F1"/>
    <w:rsid w:val="008034DC"/>
    <w:rsid w:val="008107B4"/>
    <w:rsid w:val="00811BD1"/>
    <w:rsid w:val="00814824"/>
    <w:rsid w:val="00827B4F"/>
    <w:rsid w:val="00832A53"/>
    <w:rsid w:val="00834B78"/>
    <w:rsid w:val="00836A7E"/>
    <w:rsid w:val="008372C5"/>
    <w:rsid w:val="00850306"/>
    <w:rsid w:val="00852916"/>
    <w:rsid w:val="008564A2"/>
    <w:rsid w:val="008621DB"/>
    <w:rsid w:val="00875DF1"/>
    <w:rsid w:val="00886AB8"/>
    <w:rsid w:val="00887EBD"/>
    <w:rsid w:val="008C18E4"/>
    <w:rsid w:val="008D518A"/>
    <w:rsid w:val="008E3791"/>
    <w:rsid w:val="008F5677"/>
    <w:rsid w:val="00900F6A"/>
    <w:rsid w:val="00902BA2"/>
    <w:rsid w:val="009174B6"/>
    <w:rsid w:val="009230D8"/>
    <w:rsid w:val="0092605D"/>
    <w:rsid w:val="00930910"/>
    <w:rsid w:val="009343FC"/>
    <w:rsid w:val="00934B92"/>
    <w:rsid w:val="00934C6C"/>
    <w:rsid w:val="009352A6"/>
    <w:rsid w:val="00935CDD"/>
    <w:rsid w:val="00936120"/>
    <w:rsid w:val="0094460E"/>
    <w:rsid w:val="00957C77"/>
    <w:rsid w:val="009603B6"/>
    <w:rsid w:val="00960812"/>
    <w:rsid w:val="0096590F"/>
    <w:rsid w:val="00965A20"/>
    <w:rsid w:val="00965CB7"/>
    <w:rsid w:val="00975949"/>
    <w:rsid w:val="0098208B"/>
    <w:rsid w:val="0098367B"/>
    <w:rsid w:val="00990234"/>
    <w:rsid w:val="00995F75"/>
    <w:rsid w:val="00996F42"/>
    <w:rsid w:val="00996FBE"/>
    <w:rsid w:val="009972B2"/>
    <w:rsid w:val="009A5144"/>
    <w:rsid w:val="009A6D4B"/>
    <w:rsid w:val="009B12EF"/>
    <w:rsid w:val="009B3FF8"/>
    <w:rsid w:val="009C4895"/>
    <w:rsid w:val="009C6F61"/>
    <w:rsid w:val="009D50C5"/>
    <w:rsid w:val="009D53BE"/>
    <w:rsid w:val="009E3CCF"/>
    <w:rsid w:val="009F3FCB"/>
    <w:rsid w:val="009F5868"/>
    <w:rsid w:val="00A03770"/>
    <w:rsid w:val="00A2735A"/>
    <w:rsid w:val="00A305CA"/>
    <w:rsid w:val="00A342CD"/>
    <w:rsid w:val="00A346F8"/>
    <w:rsid w:val="00A4149A"/>
    <w:rsid w:val="00A420C6"/>
    <w:rsid w:val="00A5073E"/>
    <w:rsid w:val="00A570B0"/>
    <w:rsid w:val="00A57E06"/>
    <w:rsid w:val="00A63378"/>
    <w:rsid w:val="00A70050"/>
    <w:rsid w:val="00A752FB"/>
    <w:rsid w:val="00A76D43"/>
    <w:rsid w:val="00A77612"/>
    <w:rsid w:val="00A86EAB"/>
    <w:rsid w:val="00A93D3F"/>
    <w:rsid w:val="00A96AEF"/>
    <w:rsid w:val="00A97824"/>
    <w:rsid w:val="00A97B92"/>
    <w:rsid w:val="00AA2394"/>
    <w:rsid w:val="00AA55CA"/>
    <w:rsid w:val="00AB245C"/>
    <w:rsid w:val="00AB2586"/>
    <w:rsid w:val="00AB3004"/>
    <w:rsid w:val="00AC6598"/>
    <w:rsid w:val="00AD0FD1"/>
    <w:rsid w:val="00AD1AB0"/>
    <w:rsid w:val="00AD2FFA"/>
    <w:rsid w:val="00AD61F6"/>
    <w:rsid w:val="00AE5C61"/>
    <w:rsid w:val="00B14F55"/>
    <w:rsid w:val="00B15CE6"/>
    <w:rsid w:val="00B206CF"/>
    <w:rsid w:val="00B214FD"/>
    <w:rsid w:val="00B274AA"/>
    <w:rsid w:val="00B3030D"/>
    <w:rsid w:val="00B30F21"/>
    <w:rsid w:val="00B33B5F"/>
    <w:rsid w:val="00B3499D"/>
    <w:rsid w:val="00B356B0"/>
    <w:rsid w:val="00B4148A"/>
    <w:rsid w:val="00B4377F"/>
    <w:rsid w:val="00B463CF"/>
    <w:rsid w:val="00B5330E"/>
    <w:rsid w:val="00B63C13"/>
    <w:rsid w:val="00B6484C"/>
    <w:rsid w:val="00B64F27"/>
    <w:rsid w:val="00B66E4B"/>
    <w:rsid w:val="00B67483"/>
    <w:rsid w:val="00B762FF"/>
    <w:rsid w:val="00B77170"/>
    <w:rsid w:val="00B77FCA"/>
    <w:rsid w:val="00B80BCD"/>
    <w:rsid w:val="00B844F9"/>
    <w:rsid w:val="00B9100A"/>
    <w:rsid w:val="00B96D82"/>
    <w:rsid w:val="00BA20FC"/>
    <w:rsid w:val="00BA6CE1"/>
    <w:rsid w:val="00BB108F"/>
    <w:rsid w:val="00BB56F8"/>
    <w:rsid w:val="00BB5C7B"/>
    <w:rsid w:val="00BC494A"/>
    <w:rsid w:val="00BD02E7"/>
    <w:rsid w:val="00BD2066"/>
    <w:rsid w:val="00BD3E1F"/>
    <w:rsid w:val="00BD4B09"/>
    <w:rsid w:val="00BE1800"/>
    <w:rsid w:val="00BE2C27"/>
    <w:rsid w:val="00BE3A9B"/>
    <w:rsid w:val="00BE4E63"/>
    <w:rsid w:val="00BE6FCB"/>
    <w:rsid w:val="00BE7709"/>
    <w:rsid w:val="00BF0B39"/>
    <w:rsid w:val="00BF4525"/>
    <w:rsid w:val="00BF583A"/>
    <w:rsid w:val="00C101C7"/>
    <w:rsid w:val="00C10B04"/>
    <w:rsid w:val="00C10DF1"/>
    <w:rsid w:val="00C2383F"/>
    <w:rsid w:val="00C23A77"/>
    <w:rsid w:val="00C24757"/>
    <w:rsid w:val="00C24BE0"/>
    <w:rsid w:val="00C25AB0"/>
    <w:rsid w:val="00C263C6"/>
    <w:rsid w:val="00C26965"/>
    <w:rsid w:val="00C4384A"/>
    <w:rsid w:val="00C4626B"/>
    <w:rsid w:val="00C46C7B"/>
    <w:rsid w:val="00C50355"/>
    <w:rsid w:val="00C51531"/>
    <w:rsid w:val="00C52938"/>
    <w:rsid w:val="00C53CA0"/>
    <w:rsid w:val="00C570B8"/>
    <w:rsid w:val="00C64384"/>
    <w:rsid w:val="00C73D66"/>
    <w:rsid w:val="00C74B33"/>
    <w:rsid w:val="00C755C1"/>
    <w:rsid w:val="00C77172"/>
    <w:rsid w:val="00C8106E"/>
    <w:rsid w:val="00C9658B"/>
    <w:rsid w:val="00C97AC6"/>
    <w:rsid w:val="00C97C2F"/>
    <w:rsid w:val="00CA6446"/>
    <w:rsid w:val="00CB2887"/>
    <w:rsid w:val="00CB2A70"/>
    <w:rsid w:val="00CB437C"/>
    <w:rsid w:val="00CD2BCE"/>
    <w:rsid w:val="00CD6E94"/>
    <w:rsid w:val="00CE4849"/>
    <w:rsid w:val="00CF4F81"/>
    <w:rsid w:val="00CF6037"/>
    <w:rsid w:val="00D02834"/>
    <w:rsid w:val="00D02C18"/>
    <w:rsid w:val="00D03166"/>
    <w:rsid w:val="00D0604B"/>
    <w:rsid w:val="00D105DB"/>
    <w:rsid w:val="00D1208C"/>
    <w:rsid w:val="00D14390"/>
    <w:rsid w:val="00D14E7C"/>
    <w:rsid w:val="00D26C37"/>
    <w:rsid w:val="00D27C6D"/>
    <w:rsid w:val="00D375CE"/>
    <w:rsid w:val="00D409B2"/>
    <w:rsid w:val="00D43B26"/>
    <w:rsid w:val="00D47840"/>
    <w:rsid w:val="00D51018"/>
    <w:rsid w:val="00D56DF4"/>
    <w:rsid w:val="00D576DE"/>
    <w:rsid w:val="00D57B84"/>
    <w:rsid w:val="00D66BAF"/>
    <w:rsid w:val="00D76711"/>
    <w:rsid w:val="00D76930"/>
    <w:rsid w:val="00D800D6"/>
    <w:rsid w:val="00D82491"/>
    <w:rsid w:val="00D82C67"/>
    <w:rsid w:val="00D8716F"/>
    <w:rsid w:val="00D94217"/>
    <w:rsid w:val="00D94E9E"/>
    <w:rsid w:val="00D94EAE"/>
    <w:rsid w:val="00DA18A5"/>
    <w:rsid w:val="00DA6753"/>
    <w:rsid w:val="00DA75BB"/>
    <w:rsid w:val="00DA79D3"/>
    <w:rsid w:val="00DB08CB"/>
    <w:rsid w:val="00DB0A17"/>
    <w:rsid w:val="00DB0E71"/>
    <w:rsid w:val="00DB0FF9"/>
    <w:rsid w:val="00DB29B8"/>
    <w:rsid w:val="00DB42B0"/>
    <w:rsid w:val="00DB4C5E"/>
    <w:rsid w:val="00DB5362"/>
    <w:rsid w:val="00DB5408"/>
    <w:rsid w:val="00DC39BF"/>
    <w:rsid w:val="00DD079F"/>
    <w:rsid w:val="00DD5A47"/>
    <w:rsid w:val="00DE0D78"/>
    <w:rsid w:val="00DE1267"/>
    <w:rsid w:val="00DE19A4"/>
    <w:rsid w:val="00DF1B97"/>
    <w:rsid w:val="00DF6843"/>
    <w:rsid w:val="00E06D1D"/>
    <w:rsid w:val="00E1371D"/>
    <w:rsid w:val="00E20173"/>
    <w:rsid w:val="00E2056A"/>
    <w:rsid w:val="00E20E3F"/>
    <w:rsid w:val="00E26A21"/>
    <w:rsid w:val="00E2794E"/>
    <w:rsid w:val="00E3074E"/>
    <w:rsid w:val="00E3500A"/>
    <w:rsid w:val="00E357A6"/>
    <w:rsid w:val="00E35A37"/>
    <w:rsid w:val="00E35D98"/>
    <w:rsid w:val="00E43F72"/>
    <w:rsid w:val="00E44DA9"/>
    <w:rsid w:val="00E4615E"/>
    <w:rsid w:val="00E73F48"/>
    <w:rsid w:val="00E77398"/>
    <w:rsid w:val="00E804B1"/>
    <w:rsid w:val="00E81B41"/>
    <w:rsid w:val="00E82A51"/>
    <w:rsid w:val="00E856D5"/>
    <w:rsid w:val="00E85A29"/>
    <w:rsid w:val="00E86184"/>
    <w:rsid w:val="00E9161A"/>
    <w:rsid w:val="00E92F6E"/>
    <w:rsid w:val="00E93C7D"/>
    <w:rsid w:val="00E94349"/>
    <w:rsid w:val="00EA38FA"/>
    <w:rsid w:val="00EA3C7C"/>
    <w:rsid w:val="00EA5748"/>
    <w:rsid w:val="00EB1395"/>
    <w:rsid w:val="00EB2966"/>
    <w:rsid w:val="00EC4B7E"/>
    <w:rsid w:val="00ED2229"/>
    <w:rsid w:val="00ED3257"/>
    <w:rsid w:val="00ED33B6"/>
    <w:rsid w:val="00ED5BDE"/>
    <w:rsid w:val="00EE2295"/>
    <w:rsid w:val="00EE2AF2"/>
    <w:rsid w:val="00EE3B75"/>
    <w:rsid w:val="00EE7A80"/>
    <w:rsid w:val="00EF02ED"/>
    <w:rsid w:val="00F010C5"/>
    <w:rsid w:val="00F035E4"/>
    <w:rsid w:val="00F0468D"/>
    <w:rsid w:val="00F0476D"/>
    <w:rsid w:val="00F066F3"/>
    <w:rsid w:val="00F10D74"/>
    <w:rsid w:val="00F11E83"/>
    <w:rsid w:val="00F131ED"/>
    <w:rsid w:val="00F202F2"/>
    <w:rsid w:val="00F21DDC"/>
    <w:rsid w:val="00F236D3"/>
    <w:rsid w:val="00F26353"/>
    <w:rsid w:val="00F26A72"/>
    <w:rsid w:val="00F31B30"/>
    <w:rsid w:val="00F3487E"/>
    <w:rsid w:val="00F36211"/>
    <w:rsid w:val="00F36A6A"/>
    <w:rsid w:val="00F40F2E"/>
    <w:rsid w:val="00F40F69"/>
    <w:rsid w:val="00F43CE4"/>
    <w:rsid w:val="00F5336D"/>
    <w:rsid w:val="00F601BC"/>
    <w:rsid w:val="00F66474"/>
    <w:rsid w:val="00F715F5"/>
    <w:rsid w:val="00F87BF7"/>
    <w:rsid w:val="00F91389"/>
    <w:rsid w:val="00F915D8"/>
    <w:rsid w:val="00F9179F"/>
    <w:rsid w:val="00F959CE"/>
    <w:rsid w:val="00FA3420"/>
    <w:rsid w:val="00FA5F11"/>
    <w:rsid w:val="00FA7086"/>
    <w:rsid w:val="00FB5AD7"/>
    <w:rsid w:val="00FB5EC4"/>
    <w:rsid w:val="00FB7256"/>
    <w:rsid w:val="00FB7BE1"/>
    <w:rsid w:val="00FC73B5"/>
    <w:rsid w:val="00FD3CA0"/>
    <w:rsid w:val="00FE3593"/>
    <w:rsid w:val="00FE71B0"/>
    <w:rsid w:val="00FF4CCE"/>
    <w:rsid w:val="00FF6117"/>
    <w:rsid w:val="00FF70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>
      <o:colormru v:ext="edit" colors="#344274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qFormat="1"/>
    <w:lsdException w:name="annotation reference" w:uiPriority="99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/>
    <w:lsdException w:name="No Spacing" w:semiHidden="0" w:uiPriority="99" w:unhideWhenUsed="0" w:qFormat="1"/>
    <w:lsdException w:name="Light Shading" w:semiHidden="0" w:uiPriority="99" w:unhideWhenUsed="0"/>
    <w:lsdException w:name="Light List" w:semiHidden="0" w:uiPriority="99" w:unhideWhenUsed="0"/>
    <w:lsdException w:name="Light Grid" w:semiHidden="0" w:uiPriority="99" w:unhideWhenUsed="0"/>
    <w:lsdException w:name="Medium Shading 1" w:semiHidden="0" w:uiPriority="99" w:unhideWhenUsed="0"/>
    <w:lsdException w:name="Medium Shading 2" w:semiHidden="0" w:uiPriority="99" w:unhideWhenUsed="0"/>
    <w:lsdException w:name="Medium List 1" w:semiHidden="0" w:uiPriority="99" w:unhideWhenUsed="0"/>
    <w:lsdException w:name="Medium List 2" w:semiHidden="0" w:uiPriority="99" w:unhideWhenUsed="0"/>
    <w:lsdException w:name="Medium Grid 1" w:semiHidden="0" w:uiPriority="99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99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ale">
    <w:name w:val="Normal"/>
    <w:qFormat/>
    <w:rsid w:val="006B6DA6"/>
    <w:pPr>
      <w:spacing w:after="120" w:line="360" w:lineRule="auto"/>
      <w:jc w:val="both"/>
    </w:pPr>
    <w:rPr>
      <w:rFonts w:ascii="Arial" w:hAnsi="Arial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A346F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A346F8"/>
    <w:pPr>
      <w:tabs>
        <w:tab w:val="center" w:pos="4819"/>
        <w:tab w:val="right" w:pos="9638"/>
      </w:tabs>
    </w:pPr>
    <w:rPr>
      <w:rFonts w:ascii="Arial Narrow" w:hAnsi="Arial Narrow"/>
      <w:sz w:val="24"/>
    </w:rPr>
  </w:style>
  <w:style w:type="character" w:styleId="Collegamentoipertestuale">
    <w:name w:val="Hyperlink"/>
    <w:rsid w:val="00A346F8"/>
    <w:rPr>
      <w:color w:val="0000FF"/>
      <w:u w:val="single"/>
    </w:rPr>
  </w:style>
  <w:style w:type="paragraph" w:customStyle="1" w:styleId="StileEtichettadocumentoRidotta7pt">
    <w:name w:val="Stile Etichetta documento + Ridotta  7 pt"/>
    <w:basedOn w:val="Normale"/>
    <w:link w:val="StileEtichettadocumentoRidotta7ptCarattere"/>
    <w:rsid w:val="007E10F0"/>
    <w:pPr>
      <w:keepNext/>
      <w:keepLines/>
      <w:spacing w:before="400" w:line="240" w:lineRule="atLeast"/>
    </w:pPr>
    <w:rPr>
      <w:rFonts w:ascii="Arial Narrow" w:hAnsi="Arial Narrow"/>
      <w:color w:val="85AADF"/>
      <w:spacing w:val="-140"/>
      <w:kern w:val="28"/>
      <w:sz w:val="96"/>
      <w:szCs w:val="20"/>
      <w:lang w:val="en-GB" w:eastAsia="en-US"/>
    </w:rPr>
  </w:style>
  <w:style w:type="character" w:customStyle="1" w:styleId="StileEtichettadocumentoRidotta7ptCarattere">
    <w:name w:val="Stile Etichetta documento + Ridotta  7 pt Carattere"/>
    <w:link w:val="StileEtichettadocumentoRidotta7pt"/>
    <w:rsid w:val="007E10F0"/>
    <w:rPr>
      <w:rFonts w:ascii="Arial Narrow" w:hAnsi="Arial Narrow"/>
      <w:color w:val="85AADF"/>
      <w:spacing w:val="-140"/>
      <w:kern w:val="28"/>
      <w:sz w:val="96"/>
      <w:lang w:val="en-GB" w:eastAsia="en-US" w:bidi="ar-SA"/>
    </w:rPr>
  </w:style>
  <w:style w:type="character" w:customStyle="1" w:styleId="PidipaginaCarattere">
    <w:name w:val="Piè di pagina Carattere"/>
    <w:link w:val="Pidipagina"/>
    <w:uiPriority w:val="99"/>
    <w:rsid w:val="00ED5BDE"/>
    <w:rPr>
      <w:rFonts w:ascii="Arial Narrow" w:hAnsi="Arial Narrow"/>
      <w:sz w:val="24"/>
      <w:szCs w:val="24"/>
    </w:rPr>
  </w:style>
  <w:style w:type="character" w:styleId="Rimandonotaapidipagina">
    <w:name w:val="footnote reference"/>
    <w:aliases w:val="Rimando nota a piè di pagina1,Rimando nota a piè di pagina CRENOS,testo nota a pié di pagina,rimando nota a piè di pagina"/>
    <w:qFormat/>
    <w:rsid w:val="00D8716F"/>
    <w:rPr>
      <w:vertAlign w:val="superscript"/>
    </w:rPr>
  </w:style>
  <w:style w:type="paragraph" w:styleId="Testonotaapidipagina">
    <w:name w:val="footnote text"/>
    <w:aliases w:val="Testo nota a piè di pagina1"/>
    <w:basedOn w:val="Normale"/>
    <w:link w:val="TestonotaapidipaginaCarattere"/>
    <w:rsid w:val="00D8716F"/>
    <w:pPr>
      <w:spacing w:line="240" w:lineRule="auto"/>
      <w:ind w:firstLine="283"/>
    </w:pPr>
    <w:rPr>
      <w:sz w:val="16"/>
      <w:szCs w:val="20"/>
    </w:rPr>
  </w:style>
  <w:style w:type="paragraph" w:styleId="Mappadocumento">
    <w:name w:val="Document Map"/>
    <w:basedOn w:val="Normale"/>
    <w:semiHidden/>
    <w:rsid w:val="00D8716F"/>
    <w:pPr>
      <w:shd w:val="clear" w:color="auto" w:fill="000080"/>
    </w:pPr>
    <w:rPr>
      <w:rFonts w:ascii="Tahoma" w:hAnsi="Tahoma" w:cs="Tahoma"/>
      <w:szCs w:val="20"/>
    </w:rPr>
  </w:style>
  <w:style w:type="paragraph" w:styleId="Elenco">
    <w:name w:val="List"/>
    <w:basedOn w:val="Normale"/>
    <w:rsid w:val="00D8716F"/>
    <w:pPr>
      <w:numPr>
        <w:numId w:val="11"/>
      </w:numPr>
    </w:pPr>
  </w:style>
  <w:style w:type="character" w:styleId="Numeropagina">
    <w:name w:val="page number"/>
    <w:basedOn w:val="Carpredefinitoparagrafo"/>
    <w:rsid w:val="004C06E7"/>
  </w:style>
  <w:style w:type="paragraph" w:customStyle="1" w:styleId="Default">
    <w:name w:val="Default"/>
    <w:rsid w:val="0050791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rsid w:val="00CB2A70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CB2A70"/>
    <w:rPr>
      <w:rFonts w:ascii="Tahoma" w:hAnsi="Tahoma" w:cs="Tahoma"/>
      <w:sz w:val="16"/>
      <w:szCs w:val="16"/>
    </w:rPr>
  </w:style>
  <w:style w:type="character" w:styleId="Rimandocommento">
    <w:name w:val="annotation reference"/>
    <w:uiPriority w:val="99"/>
    <w:rsid w:val="00CB2A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rsid w:val="00CB2A70"/>
    <w:rPr>
      <w:szCs w:val="20"/>
    </w:rPr>
  </w:style>
  <w:style w:type="character" w:customStyle="1" w:styleId="TestocommentoCarattere">
    <w:name w:val="Testo commento Carattere"/>
    <w:link w:val="Testocommento"/>
    <w:uiPriority w:val="99"/>
    <w:rsid w:val="00CB2A70"/>
    <w:rPr>
      <w:rFonts w:ascii="Arial" w:hAnsi="Arial"/>
    </w:rPr>
  </w:style>
  <w:style w:type="paragraph" w:styleId="Soggettocommento">
    <w:name w:val="annotation subject"/>
    <w:basedOn w:val="Testocommento"/>
    <w:next w:val="Testocommento"/>
    <w:link w:val="SoggettocommentoCarattere"/>
    <w:rsid w:val="00CB2A70"/>
    <w:rPr>
      <w:b/>
      <w:bCs/>
    </w:rPr>
  </w:style>
  <w:style w:type="character" w:customStyle="1" w:styleId="SoggettocommentoCarattere">
    <w:name w:val="Soggetto commento Carattere"/>
    <w:link w:val="Soggettocommento"/>
    <w:rsid w:val="00CB2A70"/>
    <w:rPr>
      <w:rFonts w:ascii="Arial" w:hAnsi="Arial"/>
      <w:b/>
      <w:bCs/>
    </w:rPr>
  </w:style>
  <w:style w:type="paragraph" w:customStyle="1" w:styleId="Notaapidipagina">
    <w:name w:val="Nota a piè di pagina"/>
    <w:basedOn w:val="Normale"/>
    <w:link w:val="NotaapidipaginaCarattere"/>
    <w:rsid w:val="005F29F3"/>
    <w:pPr>
      <w:keepLines/>
      <w:suppressAutoHyphens/>
      <w:spacing w:after="0" w:line="240" w:lineRule="auto"/>
    </w:pPr>
    <w:rPr>
      <w:rFonts w:ascii="Calibri" w:hAnsi="Calibri"/>
      <w:sz w:val="17"/>
      <w:szCs w:val="20"/>
      <w:lang w:val="en-US" w:eastAsia="ja-JP"/>
    </w:rPr>
  </w:style>
  <w:style w:type="character" w:customStyle="1" w:styleId="NotaapidipaginaCarattere">
    <w:name w:val="Nota a piè di pagina Carattere"/>
    <w:link w:val="Notaapidipagina"/>
    <w:locked/>
    <w:rsid w:val="005F29F3"/>
    <w:rPr>
      <w:rFonts w:ascii="Calibri" w:hAnsi="Calibri"/>
      <w:sz w:val="17"/>
      <w:lang w:val="en-US" w:eastAsia="ja-JP" w:bidi="ar-SA"/>
    </w:rPr>
  </w:style>
  <w:style w:type="paragraph" w:styleId="Corpodeltesto">
    <w:name w:val="Body Text"/>
    <w:basedOn w:val="Normale"/>
    <w:rsid w:val="009D53BE"/>
  </w:style>
  <w:style w:type="paragraph" w:styleId="Primorientrocorpodeltesto">
    <w:name w:val="Body Text First Indent"/>
    <w:basedOn w:val="Normale"/>
    <w:next w:val="Normale"/>
    <w:link w:val="PrimorientrocorpodeltestoCarattere"/>
    <w:rsid w:val="009D53BE"/>
    <w:pPr>
      <w:spacing w:after="0" w:line="240" w:lineRule="auto"/>
    </w:pPr>
    <w:rPr>
      <w:rFonts w:ascii="Times New Roman" w:hAnsi="Times New Roman"/>
      <w:sz w:val="22"/>
      <w:szCs w:val="20"/>
    </w:rPr>
  </w:style>
  <w:style w:type="character" w:customStyle="1" w:styleId="PrimorientrocorpodeltestoCarattere">
    <w:name w:val="Primo rientro corpo del testo Carattere"/>
    <w:link w:val="Primorientrocorpodeltesto"/>
    <w:locked/>
    <w:rsid w:val="009D53BE"/>
    <w:rPr>
      <w:sz w:val="22"/>
      <w:lang w:val="it-IT" w:eastAsia="it-IT" w:bidi="ar-SA"/>
    </w:rPr>
  </w:style>
  <w:style w:type="character" w:customStyle="1" w:styleId="TestonotaapidipaginaCarattere">
    <w:name w:val="Testo nota a piè di pagina Carattere"/>
    <w:aliases w:val="Testo nota a piè di pagina1 Carattere"/>
    <w:link w:val="Testonotaapidipagina"/>
    <w:locked/>
    <w:rsid w:val="001C307F"/>
    <w:rPr>
      <w:rFonts w:ascii="Arial" w:hAnsi="Arial"/>
      <w:sz w:val="16"/>
      <w:lang w:eastAsia="it-IT"/>
    </w:rPr>
  </w:style>
  <w:style w:type="paragraph" w:customStyle="1" w:styleId="Norientro">
    <w:name w:val="No rientro"/>
    <w:basedOn w:val="Normale"/>
    <w:next w:val="Normale"/>
    <w:qFormat/>
    <w:rsid w:val="00D56DF4"/>
    <w:pPr>
      <w:spacing w:after="0" w:line="240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taapidipagina0">
    <w:name w:val="nota a piè di pagina"/>
    <w:basedOn w:val="Notaapidipagina"/>
    <w:link w:val="notaapidipaginaCarattere0"/>
    <w:qFormat/>
    <w:rsid w:val="00DA75BB"/>
    <w:pPr>
      <w:suppressAutoHyphens w:val="0"/>
    </w:pPr>
    <w:rPr>
      <w:szCs w:val="24"/>
      <w:lang w:val="it-IT" w:eastAsia="it-IT"/>
    </w:rPr>
  </w:style>
  <w:style w:type="character" w:customStyle="1" w:styleId="notaapidipaginaCarattere0">
    <w:name w:val="nota a piè di pagina Carattere"/>
    <w:basedOn w:val="NotaapidipaginaCarattere"/>
    <w:link w:val="notaapidipagina0"/>
    <w:rsid w:val="00DA75BB"/>
    <w:rPr>
      <w:rFonts w:ascii="Calibri" w:hAnsi="Calibri"/>
      <w:sz w:val="17"/>
      <w:szCs w:val="24"/>
      <w:lang w:val="en-US" w:eastAsia="ja-JP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qFormat="1"/>
    <w:lsdException w:name="annotation reference" w:uiPriority="99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/>
    <w:lsdException w:name="No Spacing" w:semiHidden="0" w:uiPriority="99" w:unhideWhenUsed="0" w:qFormat="1"/>
    <w:lsdException w:name="Light Shading" w:semiHidden="0" w:uiPriority="99" w:unhideWhenUsed="0"/>
    <w:lsdException w:name="Light List" w:semiHidden="0" w:uiPriority="99" w:unhideWhenUsed="0"/>
    <w:lsdException w:name="Light Grid" w:semiHidden="0" w:uiPriority="99" w:unhideWhenUsed="0"/>
    <w:lsdException w:name="Medium Shading 1" w:semiHidden="0" w:uiPriority="99" w:unhideWhenUsed="0"/>
    <w:lsdException w:name="Medium Shading 2" w:semiHidden="0" w:uiPriority="99" w:unhideWhenUsed="0"/>
    <w:lsdException w:name="Medium List 1" w:semiHidden="0" w:uiPriority="99" w:unhideWhenUsed="0"/>
    <w:lsdException w:name="Medium List 2" w:semiHidden="0" w:uiPriority="99" w:unhideWhenUsed="0"/>
    <w:lsdException w:name="Medium Grid 1" w:semiHidden="0" w:uiPriority="99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99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ale">
    <w:name w:val="Normal"/>
    <w:qFormat/>
    <w:rsid w:val="006B6DA6"/>
    <w:pPr>
      <w:spacing w:after="120" w:line="360" w:lineRule="auto"/>
      <w:jc w:val="both"/>
    </w:pPr>
    <w:rPr>
      <w:rFonts w:ascii="Arial" w:hAnsi="Arial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A346F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A346F8"/>
    <w:pPr>
      <w:tabs>
        <w:tab w:val="center" w:pos="4819"/>
        <w:tab w:val="right" w:pos="9638"/>
      </w:tabs>
    </w:pPr>
    <w:rPr>
      <w:rFonts w:ascii="Arial Narrow" w:hAnsi="Arial Narrow"/>
      <w:sz w:val="24"/>
    </w:rPr>
  </w:style>
  <w:style w:type="character" w:styleId="Collegamentoipertestuale">
    <w:name w:val="Hyperlink"/>
    <w:rsid w:val="00A346F8"/>
    <w:rPr>
      <w:color w:val="0000FF"/>
      <w:u w:val="single"/>
    </w:rPr>
  </w:style>
  <w:style w:type="paragraph" w:customStyle="1" w:styleId="StileEtichettadocumentoRidotta7pt">
    <w:name w:val="Stile Etichetta documento + Ridotta  7 pt"/>
    <w:basedOn w:val="Normale"/>
    <w:link w:val="StileEtichettadocumentoRidotta7ptCarattere"/>
    <w:rsid w:val="007E10F0"/>
    <w:pPr>
      <w:keepNext/>
      <w:keepLines/>
      <w:spacing w:before="400" w:line="240" w:lineRule="atLeast"/>
    </w:pPr>
    <w:rPr>
      <w:rFonts w:ascii="Arial Narrow" w:hAnsi="Arial Narrow"/>
      <w:color w:val="85AADF"/>
      <w:spacing w:val="-140"/>
      <w:kern w:val="28"/>
      <w:sz w:val="96"/>
      <w:szCs w:val="20"/>
      <w:lang w:val="en-GB" w:eastAsia="en-US"/>
    </w:rPr>
  </w:style>
  <w:style w:type="character" w:customStyle="1" w:styleId="StileEtichettadocumentoRidotta7ptCarattere">
    <w:name w:val="Stile Etichetta documento + Ridotta  7 pt Carattere"/>
    <w:link w:val="StileEtichettadocumentoRidotta7pt"/>
    <w:rsid w:val="007E10F0"/>
    <w:rPr>
      <w:rFonts w:ascii="Arial Narrow" w:hAnsi="Arial Narrow"/>
      <w:color w:val="85AADF"/>
      <w:spacing w:val="-140"/>
      <w:kern w:val="28"/>
      <w:sz w:val="96"/>
      <w:lang w:val="en-GB" w:eastAsia="en-US" w:bidi="ar-SA"/>
    </w:rPr>
  </w:style>
  <w:style w:type="character" w:customStyle="1" w:styleId="PidipaginaCarattere">
    <w:name w:val="Footer Char"/>
    <w:link w:val="Pidipagina"/>
    <w:uiPriority w:val="99"/>
    <w:rsid w:val="00ED5BDE"/>
    <w:rPr>
      <w:rFonts w:ascii="Arial Narrow" w:hAnsi="Arial Narrow"/>
      <w:sz w:val="24"/>
      <w:szCs w:val="24"/>
    </w:rPr>
  </w:style>
  <w:style w:type="character" w:styleId="Rimandonotaapidipagina">
    <w:name w:val="footnote reference"/>
    <w:aliases w:val="Rimando nota a piè di pagina1,Rimando nota a piè di pagina CRENOS,testo nota a pié di pagina,rimando nota a piè di pagina"/>
    <w:qFormat/>
    <w:rsid w:val="00D8716F"/>
    <w:rPr>
      <w:vertAlign w:val="superscript"/>
    </w:rPr>
  </w:style>
  <w:style w:type="paragraph" w:styleId="Testonotaapidipagina">
    <w:name w:val="footnote text"/>
    <w:aliases w:val="Testo nota a piè di pagina1"/>
    <w:basedOn w:val="Normale"/>
    <w:link w:val="TestonotaapidipaginaCarattere"/>
    <w:rsid w:val="00D8716F"/>
    <w:pPr>
      <w:spacing w:line="240" w:lineRule="auto"/>
      <w:ind w:firstLine="283"/>
    </w:pPr>
    <w:rPr>
      <w:sz w:val="16"/>
      <w:szCs w:val="20"/>
    </w:rPr>
  </w:style>
  <w:style w:type="paragraph" w:styleId="Mappadocumento">
    <w:name w:val="Document Map"/>
    <w:basedOn w:val="Normale"/>
    <w:semiHidden/>
    <w:rsid w:val="00D8716F"/>
    <w:pPr>
      <w:shd w:val="clear" w:color="auto" w:fill="000080"/>
    </w:pPr>
    <w:rPr>
      <w:rFonts w:ascii="Tahoma" w:hAnsi="Tahoma" w:cs="Tahoma"/>
      <w:szCs w:val="20"/>
    </w:rPr>
  </w:style>
  <w:style w:type="paragraph" w:styleId="Elenco">
    <w:name w:val="List"/>
    <w:basedOn w:val="Normale"/>
    <w:rsid w:val="00D8716F"/>
    <w:pPr>
      <w:numPr>
        <w:numId w:val="11"/>
      </w:numPr>
    </w:pPr>
  </w:style>
  <w:style w:type="character" w:styleId="Numeropagina">
    <w:name w:val="page number"/>
    <w:basedOn w:val="Carpredefinitoparagrafo"/>
    <w:rsid w:val="004C06E7"/>
  </w:style>
  <w:style w:type="paragraph" w:customStyle="1" w:styleId="Default">
    <w:name w:val="Default"/>
    <w:rsid w:val="0050791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rsid w:val="00CB2A70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Balloon Text Char"/>
    <w:link w:val="Testofumetto"/>
    <w:rsid w:val="00CB2A70"/>
    <w:rPr>
      <w:rFonts w:ascii="Tahoma" w:hAnsi="Tahoma" w:cs="Tahoma"/>
      <w:sz w:val="16"/>
      <w:szCs w:val="16"/>
    </w:rPr>
  </w:style>
  <w:style w:type="character" w:styleId="Rimandocommento">
    <w:name w:val="annotation reference"/>
    <w:uiPriority w:val="99"/>
    <w:rsid w:val="00CB2A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rsid w:val="00CB2A70"/>
    <w:rPr>
      <w:szCs w:val="20"/>
    </w:rPr>
  </w:style>
  <w:style w:type="character" w:customStyle="1" w:styleId="TestocommentoCarattere">
    <w:name w:val="Comment Text Char"/>
    <w:link w:val="Testocommento"/>
    <w:uiPriority w:val="99"/>
    <w:rsid w:val="00CB2A70"/>
    <w:rPr>
      <w:rFonts w:ascii="Arial" w:hAnsi="Arial"/>
    </w:rPr>
  </w:style>
  <w:style w:type="paragraph" w:styleId="Soggettocommento">
    <w:name w:val="annotation subject"/>
    <w:basedOn w:val="Testocommento"/>
    <w:next w:val="Testocommento"/>
    <w:link w:val="SoggettocommentoCarattere"/>
    <w:rsid w:val="00CB2A70"/>
    <w:rPr>
      <w:b/>
      <w:bCs/>
    </w:rPr>
  </w:style>
  <w:style w:type="character" w:customStyle="1" w:styleId="SoggettocommentoCarattere">
    <w:name w:val="Comment Subject Char"/>
    <w:link w:val="Soggettocommento"/>
    <w:rsid w:val="00CB2A70"/>
    <w:rPr>
      <w:rFonts w:ascii="Arial" w:hAnsi="Arial"/>
      <w:b/>
      <w:bCs/>
    </w:rPr>
  </w:style>
  <w:style w:type="paragraph" w:customStyle="1" w:styleId="Notaapidipagina">
    <w:name w:val="Nota a piè di pagina"/>
    <w:basedOn w:val="Normale"/>
    <w:link w:val="NotaapidipaginaCarattere"/>
    <w:rsid w:val="005F29F3"/>
    <w:pPr>
      <w:keepLines/>
      <w:suppressAutoHyphens/>
      <w:spacing w:after="0" w:line="240" w:lineRule="auto"/>
    </w:pPr>
    <w:rPr>
      <w:rFonts w:ascii="Calibri" w:hAnsi="Calibri"/>
      <w:sz w:val="17"/>
      <w:szCs w:val="20"/>
      <w:lang w:val="en-US" w:eastAsia="ja-JP"/>
    </w:rPr>
  </w:style>
  <w:style w:type="character" w:customStyle="1" w:styleId="NotaapidipaginaCarattere">
    <w:name w:val="Nota a piè di pagina Carattere"/>
    <w:link w:val="Notaapidipagina"/>
    <w:locked/>
    <w:rsid w:val="005F29F3"/>
    <w:rPr>
      <w:rFonts w:ascii="Calibri" w:hAnsi="Calibri"/>
      <w:sz w:val="17"/>
      <w:lang w:val="en-US" w:eastAsia="ja-JP" w:bidi="ar-SA"/>
    </w:rPr>
  </w:style>
  <w:style w:type="paragraph" w:styleId="Corpotesto">
    <w:name w:val="Body Text"/>
    <w:basedOn w:val="Normale"/>
    <w:rsid w:val="009D53BE"/>
  </w:style>
  <w:style w:type="paragraph" w:styleId="Primorientrocorpodeltesto">
    <w:name w:val="Body Text First Indent"/>
    <w:basedOn w:val="Normale"/>
    <w:next w:val="Normale"/>
    <w:link w:val="PrimorientrocorpodeltestoCarattere"/>
    <w:rsid w:val="009D53BE"/>
    <w:pPr>
      <w:spacing w:after="0" w:line="240" w:lineRule="auto"/>
    </w:pPr>
    <w:rPr>
      <w:rFonts w:ascii="Times New Roman" w:hAnsi="Times New Roman"/>
      <w:sz w:val="22"/>
      <w:szCs w:val="20"/>
    </w:rPr>
  </w:style>
  <w:style w:type="character" w:customStyle="1" w:styleId="PrimorientrocorpodeltestoCarattere">
    <w:name w:val="Body Text First Indent Char"/>
    <w:link w:val="Primorientrocorpodeltesto"/>
    <w:locked/>
    <w:rsid w:val="009D53BE"/>
    <w:rPr>
      <w:sz w:val="22"/>
      <w:lang w:val="it-IT" w:eastAsia="it-IT" w:bidi="ar-SA"/>
    </w:rPr>
  </w:style>
  <w:style w:type="character" w:customStyle="1" w:styleId="TestonotaapidipaginaCarattere">
    <w:name w:val="Footnote Text Char"/>
    <w:aliases w:val="Testo nota a piè di pagina1 Char"/>
    <w:link w:val="Testonotaapidipagina"/>
    <w:locked/>
    <w:rsid w:val="001C307F"/>
    <w:rPr>
      <w:rFonts w:ascii="Arial" w:hAnsi="Arial"/>
      <w:sz w:val="16"/>
      <w:lang w:eastAsia="it-IT"/>
    </w:rPr>
  </w:style>
  <w:style w:type="paragraph" w:customStyle="1" w:styleId="Norientro">
    <w:name w:val="No rientro"/>
    <w:basedOn w:val="Normale"/>
    <w:next w:val="Normale"/>
    <w:qFormat/>
    <w:rsid w:val="00D56DF4"/>
    <w:pPr>
      <w:spacing w:after="0" w:line="240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taapidipagina0">
    <w:name w:val="nota a piè di pagina"/>
    <w:basedOn w:val="Notaapidipagina"/>
    <w:link w:val="notaapidipaginaCarattere0"/>
    <w:qFormat/>
    <w:rsid w:val="00DA75BB"/>
    <w:pPr>
      <w:suppressAutoHyphens w:val="0"/>
    </w:pPr>
    <w:rPr>
      <w:szCs w:val="24"/>
      <w:lang w:val="it-IT" w:eastAsia="it-IT"/>
    </w:rPr>
  </w:style>
  <w:style w:type="character" w:customStyle="1" w:styleId="notaapidipaginaCarattere0">
    <w:name w:val="nota a piè di pagina Carattere"/>
    <w:basedOn w:val="NotaapidipaginaCarattere"/>
    <w:link w:val="notaapidipagina0"/>
    <w:rsid w:val="00DA75BB"/>
    <w:rPr>
      <w:rFonts w:ascii="Calibri" w:hAnsi="Calibri"/>
      <w:sz w:val="17"/>
      <w:szCs w:val="24"/>
      <w:lang w:val="en-US" w:eastAsia="ja-JP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ocumenti\CRENOS%20-%20Documenti\Carta%20Intestata\Carta%20intestata%20Sezione%20Creno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206EFE-2BDB-44A1-B0C9-EF4AAAB74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Sezione Crenos.dot</Template>
  <TotalTime>278</TotalTime>
  <Pages>1</Pages>
  <Words>2176</Words>
  <Characters>12407</Characters>
  <Application>Microsoft Office Word</Application>
  <DocSecurity>0</DocSecurity>
  <Lines>103</Lines>
  <Paragraphs>29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CRENÝS -  Centro Ricerche Economiche Nord Sud</vt:lpstr>
      <vt:lpstr>CRENÝS -  Centro Ricerche Economiche Nord Sud</vt:lpstr>
    </vt:vector>
  </TitlesOfParts>
  <Company>crimm</Company>
  <LinksUpToDate>false</LinksUpToDate>
  <CharactersWithSpaces>14554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CRENÝS -  Centro Ricerche Economiche Nord Sud</dc:title>
  <dc:creator>CIREM</dc:creator>
  <cp:lastModifiedBy>Barbara</cp:lastModifiedBy>
  <cp:revision>26</cp:revision>
  <cp:lastPrinted>2017-05-10T09:56:00Z</cp:lastPrinted>
  <dcterms:created xsi:type="dcterms:W3CDTF">2019-05-07T09:14:00Z</dcterms:created>
  <dcterms:modified xsi:type="dcterms:W3CDTF">2019-05-21T10:55:00Z</dcterms:modified>
</cp:coreProperties>
</file>