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1808288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B7018B">
        <w:rPr>
          <w:rFonts w:ascii="Times New Roman" w:eastAsia="Times New Roman" w:hAnsi="Times New Roman" w:cs="Times New Roman"/>
          <w:szCs w:val="20"/>
          <w:lang w:eastAsia="ar-SA"/>
        </w:rPr>
        <w:t xml:space="preserve"> Raffaele Paci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0CD0EF8" w14:textId="6E299803" w:rsidR="001F23FA" w:rsidRPr="00082130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255B3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B7018B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B7018B" w:rsidRPr="00B7018B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“Produttività, Attività Innovativa e internazionalizzazione: analisi a livello di impresa e regionale” resp. Prof. Raffaele Paci</w:t>
      </w:r>
      <w:r w:rsidR="00B7018B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</w:t>
      </w:r>
    </w:p>
    <w:p w14:paraId="726DEE24" w14:textId="3BF428C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 prot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B7018B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7459B2"/>
    <w:rsid w:val="007B5388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7189D"/>
    <w:rsid w:val="00D73790"/>
    <w:rsid w:val="00DE4926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2172</Words>
  <Characters>12385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5</cp:revision>
  <dcterms:created xsi:type="dcterms:W3CDTF">2022-09-26T09:36:00Z</dcterms:created>
  <dcterms:modified xsi:type="dcterms:W3CDTF">2022-10-19T15:19:00Z</dcterms:modified>
</cp:coreProperties>
</file>