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2F3638" w14:textId="77777777" w:rsidR="00B67622" w:rsidRPr="00B67622" w:rsidRDefault="00B67622" w:rsidP="00B67622">
      <w:pPr>
        <w:jc w:val="both"/>
      </w:pPr>
      <w:r w:rsidRPr="00B67622">
        <w:t>SENTENZA N. 2</w:t>
      </w:r>
    </w:p>
    <w:p w14:paraId="2E3FB8F8" w14:textId="77777777" w:rsidR="00B67622" w:rsidRPr="00B67622" w:rsidRDefault="00B67622" w:rsidP="00B67622">
      <w:pPr>
        <w:jc w:val="both"/>
      </w:pPr>
      <w:r w:rsidRPr="00B67622">
        <w:t>ANNO 2004</w:t>
      </w:r>
    </w:p>
    <w:p w14:paraId="5DA7DC86" w14:textId="77777777" w:rsidR="00B67622" w:rsidRPr="00B67622" w:rsidRDefault="00B67622" w:rsidP="00B67622">
      <w:pPr>
        <w:jc w:val="both"/>
      </w:pPr>
      <w:r w:rsidRPr="00B67622">
        <w:t> </w:t>
      </w:r>
    </w:p>
    <w:p w14:paraId="0DAA8DB2" w14:textId="77777777" w:rsidR="00B67622" w:rsidRPr="00B67622" w:rsidRDefault="00B67622" w:rsidP="00B67622">
      <w:pPr>
        <w:jc w:val="both"/>
      </w:pPr>
      <w:r w:rsidRPr="00B67622">
        <w:rPr>
          <w:b/>
          <w:bCs/>
        </w:rPr>
        <w:t> </w:t>
      </w:r>
    </w:p>
    <w:p w14:paraId="630A9684" w14:textId="77777777" w:rsidR="00B67622" w:rsidRPr="00B67622" w:rsidRDefault="00B67622" w:rsidP="00B67622">
      <w:pPr>
        <w:jc w:val="both"/>
      </w:pPr>
      <w:r w:rsidRPr="00B67622">
        <w:t>REPUBBLICA ITALIANA</w:t>
      </w:r>
    </w:p>
    <w:p w14:paraId="283D3047" w14:textId="77777777" w:rsidR="00B67622" w:rsidRPr="00B67622" w:rsidRDefault="00B67622" w:rsidP="00B67622">
      <w:pPr>
        <w:jc w:val="both"/>
      </w:pPr>
      <w:r w:rsidRPr="00B67622">
        <w:t>IN NOME DEL POPOLO ITALIANO</w:t>
      </w:r>
    </w:p>
    <w:p w14:paraId="4E71E3F7" w14:textId="77777777" w:rsidR="00B67622" w:rsidRPr="00B67622" w:rsidRDefault="00B67622" w:rsidP="00B67622">
      <w:pPr>
        <w:jc w:val="both"/>
      </w:pPr>
      <w:r w:rsidRPr="00B67622">
        <w:t>LA CORTE COSTITUZIONALE</w:t>
      </w:r>
    </w:p>
    <w:p w14:paraId="02436236" w14:textId="77777777" w:rsidR="00B67622" w:rsidRPr="00B67622" w:rsidRDefault="00B67622" w:rsidP="00B67622">
      <w:pPr>
        <w:jc w:val="both"/>
      </w:pPr>
      <w:r w:rsidRPr="00B67622">
        <w:t>composta dai signori Giudici:</w:t>
      </w:r>
    </w:p>
    <w:p w14:paraId="6E1B5F2C" w14:textId="77777777" w:rsidR="00B67622" w:rsidRPr="00B67622" w:rsidRDefault="00B67622" w:rsidP="00B67622">
      <w:pPr>
        <w:jc w:val="both"/>
      </w:pPr>
      <w:r w:rsidRPr="00B67622">
        <w:t>- Riccardo CHIEPPA, Presidente</w:t>
      </w:r>
    </w:p>
    <w:p w14:paraId="2B1F059C" w14:textId="77777777" w:rsidR="00B67622" w:rsidRPr="00B67622" w:rsidRDefault="00B67622" w:rsidP="00B67622">
      <w:pPr>
        <w:jc w:val="both"/>
      </w:pPr>
      <w:r w:rsidRPr="00B67622">
        <w:t>- Gustavo ZAGREBELSKY</w:t>
      </w:r>
    </w:p>
    <w:p w14:paraId="60270E5B" w14:textId="77777777" w:rsidR="00B67622" w:rsidRPr="00B67622" w:rsidRDefault="00B67622" w:rsidP="00B67622">
      <w:pPr>
        <w:jc w:val="both"/>
      </w:pPr>
      <w:r w:rsidRPr="00B67622">
        <w:t>  - Valerio ONIDA</w:t>
      </w:r>
    </w:p>
    <w:p w14:paraId="555EAD59" w14:textId="77777777" w:rsidR="00B67622" w:rsidRPr="00B67622" w:rsidRDefault="00B67622" w:rsidP="00B67622">
      <w:pPr>
        <w:jc w:val="both"/>
      </w:pPr>
      <w:r w:rsidRPr="00B67622">
        <w:t>- Carlo       MEZZANOTTE</w:t>
      </w:r>
    </w:p>
    <w:p w14:paraId="2C2D0593" w14:textId="77777777" w:rsidR="00B67622" w:rsidRPr="00B67622" w:rsidRDefault="00B67622" w:rsidP="00B67622">
      <w:pPr>
        <w:jc w:val="both"/>
      </w:pPr>
      <w:r w:rsidRPr="00B67622">
        <w:t>- Fernanda CONTRI</w:t>
      </w:r>
    </w:p>
    <w:p w14:paraId="563BB4DD" w14:textId="77777777" w:rsidR="00B67622" w:rsidRPr="00B67622" w:rsidRDefault="00B67622" w:rsidP="00B67622">
      <w:pPr>
        <w:jc w:val="both"/>
      </w:pPr>
      <w:r w:rsidRPr="00B67622">
        <w:t>- Guido NEPPI MODONA</w:t>
      </w:r>
    </w:p>
    <w:p w14:paraId="4B9661AB" w14:textId="77777777" w:rsidR="00B67622" w:rsidRPr="00B67622" w:rsidRDefault="00B67622" w:rsidP="00B67622">
      <w:pPr>
        <w:jc w:val="both"/>
      </w:pPr>
      <w:r w:rsidRPr="00B67622">
        <w:t>- Piero Alberto CAPOTOSTI</w:t>
      </w:r>
    </w:p>
    <w:p w14:paraId="632DBFBA" w14:textId="77777777" w:rsidR="00B67622" w:rsidRPr="00B67622" w:rsidRDefault="00B67622" w:rsidP="00B67622">
      <w:pPr>
        <w:jc w:val="both"/>
      </w:pPr>
      <w:r w:rsidRPr="00B67622">
        <w:t>- Annibale MARINI</w:t>
      </w:r>
    </w:p>
    <w:p w14:paraId="6D211DE8" w14:textId="77777777" w:rsidR="00B67622" w:rsidRPr="00B67622" w:rsidRDefault="00B67622" w:rsidP="00B67622">
      <w:pPr>
        <w:jc w:val="both"/>
      </w:pPr>
      <w:r w:rsidRPr="00B67622">
        <w:t>- Franco BILE</w:t>
      </w:r>
    </w:p>
    <w:p w14:paraId="2A85373B" w14:textId="77777777" w:rsidR="00B67622" w:rsidRPr="00B67622" w:rsidRDefault="00B67622" w:rsidP="00B67622">
      <w:pPr>
        <w:jc w:val="both"/>
      </w:pPr>
      <w:r w:rsidRPr="00B67622">
        <w:t>- Giovanni Maria FLICK</w:t>
      </w:r>
    </w:p>
    <w:p w14:paraId="53A4A647" w14:textId="77777777" w:rsidR="00B67622" w:rsidRPr="00B67622" w:rsidRDefault="00B67622" w:rsidP="00B67622">
      <w:pPr>
        <w:jc w:val="both"/>
      </w:pPr>
      <w:r w:rsidRPr="00B67622">
        <w:t>- Francesco AMIRANTE </w:t>
      </w:r>
    </w:p>
    <w:p w14:paraId="6E8BD572" w14:textId="77777777" w:rsidR="00B67622" w:rsidRPr="00B67622" w:rsidRDefault="00B67622" w:rsidP="00B67622">
      <w:pPr>
        <w:jc w:val="both"/>
      </w:pPr>
      <w:r w:rsidRPr="00B67622">
        <w:t>- Ugo DE SIERVO</w:t>
      </w:r>
    </w:p>
    <w:p w14:paraId="05886696" w14:textId="77777777" w:rsidR="00B67622" w:rsidRPr="00B67622" w:rsidRDefault="00B67622" w:rsidP="00B67622">
      <w:pPr>
        <w:jc w:val="both"/>
      </w:pPr>
      <w:r w:rsidRPr="00B67622">
        <w:t>- Romano VACCARELLA</w:t>
      </w:r>
    </w:p>
    <w:p w14:paraId="5CD438D2" w14:textId="77777777" w:rsidR="00B67622" w:rsidRPr="00B67622" w:rsidRDefault="00B67622" w:rsidP="00B67622">
      <w:pPr>
        <w:jc w:val="both"/>
      </w:pPr>
      <w:r w:rsidRPr="00B67622">
        <w:t>- Paolo MADDALENA</w:t>
      </w:r>
    </w:p>
    <w:p w14:paraId="5494B032" w14:textId="77777777" w:rsidR="00B67622" w:rsidRPr="00B67622" w:rsidRDefault="00B67622" w:rsidP="00B67622">
      <w:pPr>
        <w:jc w:val="both"/>
      </w:pPr>
      <w:r w:rsidRPr="00B67622">
        <w:t>- Alfio        FINOCCHIARO</w:t>
      </w:r>
    </w:p>
    <w:p w14:paraId="67385B2F" w14:textId="77777777" w:rsidR="00B67622" w:rsidRPr="00B67622" w:rsidRDefault="00B67622" w:rsidP="00B67622">
      <w:pPr>
        <w:jc w:val="both"/>
      </w:pPr>
      <w:r w:rsidRPr="00B67622">
        <w:t>ha pronunciato la seguente</w:t>
      </w:r>
    </w:p>
    <w:p w14:paraId="780EFEED" w14:textId="77777777" w:rsidR="00B67622" w:rsidRPr="00B67622" w:rsidRDefault="00B67622" w:rsidP="00B67622">
      <w:pPr>
        <w:jc w:val="both"/>
      </w:pPr>
      <w:r w:rsidRPr="00B67622">
        <w:t>SENTENZA</w:t>
      </w:r>
    </w:p>
    <w:p w14:paraId="704573BC" w14:textId="2CF6A4FD" w:rsidR="00FC3FB8" w:rsidRPr="00FC3FB8" w:rsidRDefault="00FC3FB8" w:rsidP="00B67622">
      <w:pPr>
        <w:jc w:val="both"/>
      </w:pPr>
      <w:r>
        <w:t>[…]</w:t>
      </w:r>
    </w:p>
    <w:p w14:paraId="733909CD" w14:textId="308B6F9C" w:rsidR="00B67622" w:rsidRPr="00B67622" w:rsidRDefault="00B67622" w:rsidP="00B67622">
      <w:pPr>
        <w:jc w:val="both"/>
      </w:pPr>
      <w:r w:rsidRPr="00B67622">
        <w:rPr>
          <w:i/>
          <w:iCs/>
        </w:rPr>
        <w:t>Considerato in diritto</w:t>
      </w:r>
    </w:p>
    <w:p w14:paraId="6E39E3E6" w14:textId="77777777" w:rsidR="00B67622" w:rsidRPr="00B67622" w:rsidRDefault="00B67622" w:rsidP="00B67622">
      <w:pPr>
        <w:jc w:val="both"/>
        <w:rPr>
          <w:b/>
          <w:bCs/>
        </w:rPr>
      </w:pPr>
      <w:r w:rsidRPr="00B67622">
        <w:rPr>
          <w:b/>
          <w:bCs/>
        </w:rPr>
        <w:t xml:space="preserve">1. – Il Governo ha sollevato questione di legittimità costituzionale degli artt. 33; 34, comma 1, lettera i); 38, comma 1, lettere a) ed </w:t>
      </w:r>
      <w:proofErr w:type="gramStart"/>
      <w:r w:rsidRPr="00B67622">
        <w:rPr>
          <w:b/>
          <w:bCs/>
        </w:rPr>
        <w:t>e</w:t>
      </w:r>
      <w:proofErr w:type="gramEnd"/>
      <w:r w:rsidRPr="00B67622">
        <w:rPr>
          <w:b/>
          <w:bCs/>
        </w:rPr>
        <w:t>); 43, comma 2; 50, comma 5 e 51 dello statuto della Regione Calabria, approvato in prima deliberazione il 13 maggio 2003 e, in seconda deliberazione, il 31 luglio 2003, in riferimento agli artt. 117, secondo comma, lettera l); 121, 122, 123, primo comma e 126 della Costituzione, nonché al principio di separazione dei poteri.</w:t>
      </w:r>
    </w:p>
    <w:p w14:paraId="3DE8D415" w14:textId="77777777" w:rsidR="00B67622" w:rsidRPr="00B67622" w:rsidRDefault="00B67622" w:rsidP="00B67622">
      <w:pPr>
        <w:jc w:val="both"/>
        <w:rPr>
          <w:b/>
          <w:bCs/>
        </w:rPr>
      </w:pPr>
      <w:r w:rsidRPr="00B67622">
        <w:lastRenderedPageBreak/>
        <w:t>  </w:t>
      </w:r>
      <w:r w:rsidRPr="00B67622">
        <w:rPr>
          <w:b/>
          <w:bCs/>
        </w:rPr>
        <w:t xml:space="preserve">L’art. 33 viene impugnato perché, disciplinando la elezione del Presidente e del Vice Presidente della Giunta da parte del corpo elettorale e </w:t>
      </w:r>
      <w:r w:rsidRPr="00B67622">
        <w:rPr>
          <w:b/>
          <w:bCs/>
          <w:color w:val="EE0000"/>
        </w:rPr>
        <w:t>la loro necessaria successiva designazione da parte del Consiglio regionale nella prima seduta</w:t>
      </w:r>
      <w:r w:rsidRPr="00B67622">
        <w:rPr>
          <w:b/>
          <w:bCs/>
        </w:rPr>
        <w:t xml:space="preserve">, a meno di un automatico scioglimento del Consiglio stesso, nonché prevedendo che </w:t>
      </w:r>
      <w:r w:rsidRPr="00B67622">
        <w:rPr>
          <w:b/>
          <w:bCs/>
          <w:color w:val="EE0000"/>
        </w:rPr>
        <w:t xml:space="preserve">il Vice Presidente subentri </w:t>
      </w:r>
      <w:r w:rsidRPr="00B67622">
        <w:rPr>
          <w:b/>
          <w:bCs/>
        </w:rPr>
        <w:t xml:space="preserve">nella carica al Presidente in caso di </w:t>
      </w:r>
      <w:r w:rsidRPr="00B67622">
        <w:rPr>
          <w:b/>
          <w:bCs/>
          <w:color w:val="EE0000"/>
        </w:rPr>
        <w:t>dimissioni volontarie</w:t>
      </w:r>
      <w:r w:rsidRPr="00B67622">
        <w:rPr>
          <w:b/>
          <w:bCs/>
        </w:rPr>
        <w:t xml:space="preserve">, incompatibilità sopravvenuta, rimozione, impedimento permanente o morte, violerebbe gli artt. 122, ultimo comma, e 126, terzo comma, della Costituzione. Ciò in quanto, malgrado un meccanismo di elezione sostanzialmente a suffragio universale e diretto, si </w:t>
      </w:r>
      <w:r w:rsidRPr="00B67622">
        <w:rPr>
          <w:b/>
          <w:bCs/>
          <w:color w:val="EE0000"/>
        </w:rPr>
        <w:t>verrebbe ad eludere il principio </w:t>
      </w:r>
      <w:proofErr w:type="spellStart"/>
      <w:r w:rsidRPr="00B67622">
        <w:rPr>
          <w:b/>
          <w:bCs/>
          <w:i/>
          <w:iCs/>
          <w:color w:val="EE0000"/>
        </w:rPr>
        <w:t>simul</w:t>
      </w:r>
      <w:proofErr w:type="spellEnd"/>
      <w:r w:rsidRPr="00B67622">
        <w:rPr>
          <w:b/>
          <w:bCs/>
          <w:i/>
          <w:iCs/>
          <w:color w:val="EE0000"/>
        </w:rPr>
        <w:t> </w:t>
      </w:r>
      <w:proofErr w:type="spellStart"/>
      <w:r w:rsidRPr="00B67622">
        <w:rPr>
          <w:b/>
          <w:bCs/>
          <w:i/>
          <w:iCs/>
          <w:color w:val="EE0000"/>
        </w:rPr>
        <w:t>stabunt</w:t>
      </w:r>
      <w:proofErr w:type="spellEnd"/>
      <w:r w:rsidRPr="00B67622">
        <w:rPr>
          <w:b/>
          <w:bCs/>
          <w:i/>
          <w:iCs/>
          <w:color w:val="EE0000"/>
        </w:rPr>
        <w:t>, </w:t>
      </w:r>
      <w:proofErr w:type="spellStart"/>
      <w:r w:rsidRPr="00B67622">
        <w:rPr>
          <w:b/>
          <w:bCs/>
          <w:i/>
          <w:iCs/>
          <w:color w:val="EE0000"/>
        </w:rPr>
        <w:t>simul</w:t>
      </w:r>
      <w:proofErr w:type="spellEnd"/>
      <w:r w:rsidRPr="00B67622">
        <w:rPr>
          <w:b/>
          <w:bCs/>
          <w:i/>
          <w:iCs/>
          <w:color w:val="EE0000"/>
        </w:rPr>
        <w:t> </w:t>
      </w:r>
      <w:proofErr w:type="spellStart"/>
      <w:r w:rsidRPr="00B67622">
        <w:rPr>
          <w:b/>
          <w:bCs/>
          <w:i/>
          <w:iCs/>
          <w:color w:val="EE0000"/>
        </w:rPr>
        <w:t>cadent</w:t>
      </w:r>
      <w:proofErr w:type="spellEnd"/>
      <w:r w:rsidRPr="00B67622">
        <w:rPr>
          <w:b/>
          <w:bCs/>
          <w:i/>
          <w:iCs/>
        </w:rPr>
        <w:t>,</w:t>
      </w:r>
      <w:r w:rsidRPr="00B67622">
        <w:rPr>
          <w:b/>
          <w:bCs/>
        </w:rPr>
        <w:t> che è derogabile solo se a livello statutario si operi una scelta istituzionale diversa dalla elezione a suffragio universale e diretto.</w:t>
      </w:r>
    </w:p>
    <w:p w14:paraId="6FC06862" w14:textId="645BC852" w:rsidR="00285317" w:rsidRDefault="00285317" w:rsidP="00B67622">
      <w:pPr>
        <w:jc w:val="both"/>
      </w:pPr>
      <w:r>
        <w:t>[…]</w:t>
      </w:r>
    </w:p>
    <w:p w14:paraId="2A2B6F01" w14:textId="6EEC6A11" w:rsidR="00B67622" w:rsidRPr="00B67622" w:rsidRDefault="00B67622" w:rsidP="00B67622">
      <w:pPr>
        <w:jc w:val="both"/>
        <w:rPr>
          <w:b/>
          <w:bCs/>
        </w:rPr>
      </w:pPr>
      <w:r w:rsidRPr="00B67622">
        <w:rPr>
          <w:b/>
          <w:bCs/>
        </w:rPr>
        <w:t>   2. – La Regione Calabria si è ritualmente costituita in giudizio, sostenendo l'inammissibilità e comunque l'infondatezza di tutte le censure prospettate nel ricorso. Inoltre, la resistente ha chiesto in subordine, nell'ipotesi in cui dovesse essere ritenuta fondata la prima censura proposta dal Governo ricorrente, che questa Corte sollevi dinnanzi a sé questione di legittimità costituzionale dell’art. 126, terzo comma, della Costituzione, per violazione degli articoli 3, 97, 123, 92 e 94 della Costituzione e dei principi supremi che da tali disposizioni si deducono. Ciò perché la previsione dello scioglimento automatico del Consiglio regionale anche in relazione ad eventi che colpiscano accidentalmente la persona del Presidente della Giunta, quali la morte, l’impedimento permanente o le dimissioni volontarie non dovute ad una previa mozione di sfiducia, costituirebbe una scelta irragionevole ed in contrasto con il principio del parlamentarismo (desumibile dagli artt. 92 e 94 della Costituzione), dato che si impedirebbe alla maggioranza consiliare di portare ad attuazione il programma di governo, pur in assenza di rotture del rapporto fiduciario.</w:t>
      </w:r>
    </w:p>
    <w:p w14:paraId="5F4E390D" w14:textId="0957A4DD" w:rsidR="00B67622" w:rsidRDefault="00B67622" w:rsidP="00B67622">
      <w:pPr>
        <w:jc w:val="both"/>
        <w:rPr>
          <w:b/>
          <w:bCs/>
        </w:rPr>
      </w:pPr>
      <w:r w:rsidRPr="00B67622">
        <w:rPr>
          <w:b/>
          <w:bCs/>
        </w:rPr>
        <w:t xml:space="preserve">3. – </w:t>
      </w:r>
    </w:p>
    <w:p w14:paraId="302E3F31" w14:textId="152ACCCE" w:rsidR="001B3AF8" w:rsidRPr="00B67622" w:rsidRDefault="001B3AF8" w:rsidP="00B67622">
      <w:pPr>
        <w:jc w:val="both"/>
      </w:pPr>
      <w:r>
        <w:rPr>
          <w:b/>
          <w:bCs/>
        </w:rPr>
        <w:t>[…]</w:t>
      </w:r>
    </w:p>
    <w:p w14:paraId="56EF90B2" w14:textId="77777777" w:rsidR="00B67622" w:rsidRPr="00B67622" w:rsidRDefault="00B67622" w:rsidP="00B67622">
      <w:pPr>
        <w:jc w:val="both"/>
        <w:rPr>
          <w:b/>
          <w:bCs/>
        </w:rPr>
      </w:pPr>
      <w:r w:rsidRPr="00B67622">
        <w:rPr>
          <w:b/>
          <w:bCs/>
        </w:rPr>
        <w:t>Questa Corte ha già chiarito in precedenti sentenze alcuni profili relativi alla fonte normativa statutaria, ora speciale legge regionale caratterizzata da una particolare procedura di adozione e di controllo (cfr. </w:t>
      </w:r>
      <w:hyperlink r:id="rId4" w:history="1">
        <w:r w:rsidRPr="00B67622">
          <w:rPr>
            <w:rStyle w:val="Collegamentoipertestuale"/>
            <w:b/>
            <w:bCs/>
          </w:rPr>
          <w:t>sentenza n. 304 del 2002</w:t>
        </w:r>
      </w:hyperlink>
      <w:r w:rsidRPr="00B67622">
        <w:rPr>
          <w:b/>
          <w:bCs/>
        </w:rPr>
        <w:t>) e meglio definita nella ampiezza delle materie ad essa riservate, indicate nel primo e nel terzo comma dell’art. 123 della Costituzione (la determinazione della "forma di governo” e dei "principi fondamentali di organizzazione e funzionamento”, la disciplina dell’"esercizio del diritto di iniziativa e del referendum su leggi e provvedimenti amministrativi della Regione”, nonché "la pubblicazione delle leggi e dei regolamenti regionali”, la disciplina del Consiglio delle autonomie locali).</w:t>
      </w:r>
    </w:p>
    <w:p w14:paraId="3F8EE8DC" w14:textId="77777777" w:rsidR="00B67622" w:rsidRPr="00B67622" w:rsidRDefault="00B67622" w:rsidP="00B67622">
      <w:pPr>
        <w:jc w:val="both"/>
        <w:rPr>
          <w:b/>
          <w:bCs/>
        </w:rPr>
      </w:pPr>
      <w:r w:rsidRPr="00B67622">
        <w:rPr>
          <w:b/>
          <w:bCs/>
        </w:rPr>
        <w:t xml:space="preserve">In questi ambiti la Regione dispone di </w:t>
      </w:r>
      <w:r w:rsidRPr="00B67622">
        <w:rPr>
          <w:b/>
          <w:bCs/>
          <w:u w:val="single"/>
        </w:rPr>
        <w:t>un autonomo potere normativo</w:t>
      </w:r>
      <w:r w:rsidRPr="00B67622">
        <w:rPr>
          <w:b/>
          <w:bCs/>
        </w:rPr>
        <w:t xml:space="preserve"> per la configurazione di un ordinamento interno adeguato alle accresciute responsabilità delineate dal nuovo Titolo V della Costituzione ed alle attese di un’istituzione regionale decisamente migliorata sul piano della funzionalità e della sua stessa democraticità: dopo la riforma dell’art. 123 della Costituzione e la eliminazione della approvazione dello statuto regionale da parte del Parlamento, i limiti a questa rilevante autonomia normativa possono derivare solo da </w:t>
      </w:r>
      <w:r w:rsidRPr="00B67622">
        <w:rPr>
          <w:b/>
          <w:bCs/>
          <w:u w:val="single"/>
        </w:rPr>
        <w:t>norme chiaramente deducibili dalla Costituzione,</w:t>
      </w:r>
      <w:r w:rsidRPr="00B67622">
        <w:rPr>
          <w:b/>
          <w:bCs/>
        </w:rPr>
        <w:t xml:space="preserve"> come questa Corte ha già avuto occasione di affermare allorché ha negato che essa sia comprimibile "in mancanza di una disciplina costituzionale chiaramente riconoscibile” o "tramite non controllabili inferenze e deduzioni da concetti generali, assunti a priori” (</w:t>
      </w:r>
      <w:hyperlink r:id="rId5" w:history="1">
        <w:r w:rsidRPr="00B67622">
          <w:rPr>
            <w:rStyle w:val="Collegamentoipertestuale"/>
            <w:b/>
            <w:bCs/>
          </w:rPr>
          <w:t>sentenza n. 313 del 2003</w:t>
        </w:r>
      </w:hyperlink>
      <w:r w:rsidRPr="00B67622">
        <w:rPr>
          <w:b/>
          <w:bCs/>
        </w:rPr>
        <w:t>).</w:t>
      </w:r>
    </w:p>
    <w:p w14:paraId="688824D9" w14:textId="77777777" w:rsidR="00B67622" w:rsidRPr="00B67622" w:rsidRDefault="00B67622" w:rsidP="00B67622">
      <w:pPr>
        <w:jc w:val="both"/>
        <w:rPr>
          <w:b/>
          <w:bCs/>
        </w:rPr>
      </w:pPr>
      <w:r w:rsidRPr="00B67622">
        <w:rPr>
          <w:b/>
          <w:bCs/>
        </w:rPr>
        <w:t xml:space="preserve">Al tempo stesso, però, per ciò che riguarda il rapporto fra la potestà statutaria ed i suoi limiti, questa Corte ha chiarito che gli statuti regionali non solo, come tutte le norme giuridiche del </w:t>
      </w:r>
      <w:r w:rsidRPr="00B67622">
        <w:rPr>
          <w:b/>
          <w:bCs/>
        </w:rPr>
        <w:lastRenderedPageBreak/>
        <w:t xml:space="preserve">nostro ordinamento, devono rispettare puntualmente "ogni disposizione della Costituzione”, ma devono anche rispettarne </w:t>
      </w:r>
      <w:r w:rsidRPr="00B67622">
        <w:rPr>
          <w:b/>
          <w:bCs/>
          <w:color w:val="EE0000"/>
        </w:rPr>
        <w:t>lo spirito</w:t>
      </w:r>
      <w:r w:rsidRPr="00B67622">
        <w:rPr>
          <w:b/>
          <w:bCs/>
        </w:rPr>
        <w:t>, in nome della pure costituzionalmente necessaria "armonia con la Costituzione” (</w:t>
      </w:r>
      <w:hyperlink r:id="rId6" w:history="1">
        <w:r w:rsidRPr="00B67622">
          <w:rPr>
            <w:rStyle w:val="Collegamentoipertestuale"/>
            <w:b/>
            <w:bCs/>
          </w:rPr>
          <w:t>sentenza n. 304 del 2002</w:t>
        </w:r>
      </w:hyperlink>
      <w:r w:rsidRPr="00B67622">
        <w:rPr>
          <w:b/>
          <w:bCs/>
        </w:rPr>
        <w:t>); ciò che, più recentemente, ha trovato conferma nell'affermazione che gli statuti "dovranno essere in armonia con i precetti ed i principi tutti ricavabili dalla Costituzione” (</w:t>
      </w:r>
      <w:hyperlink r:id="rId7" w:history="1">
        <w:r w:rsidRPr="00B67622">
          <w:rPr>
            <w:rStyle w:val="Collegamentoipertestuale"/>
            <w:b/>
            <w:bCs/>
          </w:rPr>
          <w:t>sentenza n. 196 del 2003</w:t>
        </w:r>
      </w:hyperlink>
      <w:r w:rsidRPr="00B67622">
        <w:rPr>
          <w:b/>
          <w:bCs/>
        </w:rPr>
        <w:t>).</w:t>
      </w:r>
    </w:p>
    <w:p w14:paraId="49FA8C5F" w14:textId="77777777" w:rsidR="00B67622" w:rsidRPr="00B67622" w:rsidRDefault="00B67622" w:rsidP="00B67622">
      <w:pPr>
        <w:jc w:val="both"/>
        <w:rPr>
          <w:b/>
          <w:bCs/>
        </w:rPr>
      </w:pPr>
      <w:r w:rsidRPr="00B67622">
        <w:rPr>
          <w:b/>
          <w:bCs/>
        </w:rPr>
        <w:t xml:space="preserve">Da tali premesse la necessità di una lettura particolarmente attenta dei rapporti e dei confini fra le diverse aree normative affidate agli statuti o alle altre fonti legislative statali o regionali, senza presumere la soluzione del problema interpretativo sulla base della sola lettura di una singola disposizione costituzionale, tanto più ove essa utilizzi concetti che </w:t>
      </w:r>
      <w:r w:rsidRPr="00B67622">
        <w:rPr>
          <w:b/>
          <w:bCs/>
          <w:u w:val="single"/>
        </w:rPr>
        <w:t>possono legittimamente giustificare interpretazioni</w:t>
      </w:r>
      <w:r w:rsidRPr="00B67622">
        <w:rPr>
          <w:b/>
          <w:bCs/>
        </w:rPr>
        <w:t xml:space="preserve"> tra loro non poco difformi a seconda del contesto in cui sono collocati.</w:t>
      </w:r>
    </w:p>
    <w:p w14:paraId="2BE7F5CD" w14:textId="77777777" w:rsidR="00B67622" w:rsidRPr="00B67622" w:rsidRDefault="00B67622" w:rsidP="00B67622">
      <w:pPr>
        <w:jc w:val="both"/>
        <w:rPr>
          <w:b/>
          <w:bCs/>
        </w:rPr>
      </w:pPr>
      <w:r w:rsidRPr="00B67622">
        <w:rPr>
          <w:b/>
          <w:bCs/>
        </w:rPr>
        <w:t xml:space="preserve">4. – Sulla base di quanto detto, vanno anzitutto affrontati i diversi rilievi di costituzionalità sollevati nei riguardi dell’art. 33 della delibera legislativa di adozione dello statuto calabrese. Le censure prospettate dal ricorrente sono genericamente rivolte </w:t>
      </w:r>
      <w:r w:rsidRPr="00B67622">
        <w:rPr>
          <w:b/>
          <w:bCs/>
          <w:u w:val="single"/>
        </w:rPr>
        <w:t>alla disposizione nel suo complesso</w:t>
      </w:r>
      <w:r w:rsidRPr="00B67622">
        <w:rPr>
          <w:b/>
          <w:bCs/>
        </w:rPr>
        <w:t>; tuttavia, in considerazione delle motivazioni addotte nel ricorso, l'oggetto del giudizio cui è chiamata questa Corte può essere riferito ai commi 1, 2, 3, 4, 5, e 7 (quindi ne sono esclusi i commi 6 e 8).</w:t>
      </w:r>
    </w:p>
    <w:p w14:paraId="7CCD726A" w14:textId="77777777" w:rsidR="00B67622" w:rsidRPr="00B67622" w:rsidRDefault="00B67622" w:rsidP="00B67622">
      <w:pPr>
        <w:jc w:val="both"/>
        <w:rPr>
          <w:b/>
          <w:bCs/>
        </w:rPr>
      </w:pPr>
      <w:r w:rsidRPr="00B67622">
        <w:rPr>
          <w:b/>
          <w:bCs/>
        </w:rPr>
        <w:t>Le censure sono fondate.</w:t>
      </w:r>
    </w:p>
    <w:p w14:paraId="70AB4E81" w14:textId="77777777" w:rsidR="00B67622" w:rsidRPr="00B67622" w:rsidRDefault="00B67622" w:rsidP="00B67622">
      <w:pPr>
        <w:jc w:val="both"/>
        <w:rPr>
          <w:b/>
          <w:bCs/>
        </w:rPr>
      </w:pPr>
      <w:r w:rsidRPr="00B67622">
        <w:rPr>
          <w:b/>
          <w:bCs/>
        </w:rPr>
        <w:t xml:space="preserve">La legge costituzionale n. 1 del 1999 ha sostituito non solo l’art. 123 della Costituzione, ma ha mutato radicalmente gli artt. 121, 122 e 126 della Costituzione, in particolare prevedendo la </w:t>
      </w:r>
      <w:r w:rsidRPr="00B67622">
        <w:rPr>
          <w:b/>
          <w:bCs/>
          <w:u w:val="single"/>
        </w:rPr>
        <w:t>elezione del Presidente della Regione "a suffragio universale e diretto”</w:t>
      </w:r>
      <w:r w:rsidRPr="00B67622">
        <w:rPr>
          <w:b/>
          <w:bCs/>
        </w:rPr>
        <w:t xml:space="preserve"> come soluzione prescritta "salvo che lo statuto regionale disponga diversamente”, e imponendola (art. 5 della legge cost. n. 1 del 1999) come soluzione transitoria "fino alla data di entrata in vigore dei nuovi statuti regionali e delle nuove leggi elettorali ai sensi del primo comma dell’art. 122 della Costituzione”.</w:t>
      </w:r>
    </w:p>
    <w:p w14:paraId="76EFB0C2" w14:textId="77777777" w:rsidR="00B67622" w:rsidRPr="00B67622" w:rsidRDefault="00B67622" w:rsidP="00B67622">
      <w:pPr>
        <w:jc w:val="both"/>
        <w:rPr>
          <w:b/>
          <w:bCs/>
        </w:rPr>
      </w:pPr>
      <w:r w:rsidRPr="00B67622">
        <w:rPr>
          <w:b/>
          <w:bCs/>
        </w:rPr>
        <w:t xml:space="preserve">L’esame dei lavori preparatori di questa legge costituzionale e la sua titolazione evidenziano con sicurezza la volontà, largamente espressa in sede parlamentare, di </w:t>
      </w:r>
      <w:r w:rsidRPr="00B67622">
        <w:rPr>
          <w:b/>
          <w:bCs/>
          <w:u w:val="single"/>
        </w:rPr>
        <w:t>imporre tale scelta nella esplicita speranza di eliminare in tal modo la instabilità nella gestione politica delle Regioni</w:t>
      </w:r>
      <w:r w:rsidRPr="00B67622">
        <w:rPr>
          <w:b/>
          <w:bCs/>
        </w:rPr>
        <w:t xml:space="preserve"> e quindi di rafforzare il peso delle istituzioni regionali.</w:t>
      </w:r>
    </w:p>
    <w:p w14:paraId="645CF318" w14:textId="77777777" w:rsidR="00B67622" w:rsidRPr="00B67622" w:rsidRDefault="00B67622" w:rsidP="00B67622">
      <w:pPr>
        <w:jc w:val="both"/>
        <w:rPr>
          <w:b/>
          <w:bCs/>
        </w:rPr>
      </w:pPr>
      <w:r w:rsidRPr="00B67622">
        <w:rPr>
          <w:b/>
          <w:bCs/>
        </w:rPr>
        <w:t>A tal fine la soluzione istituzionale prescelta è stata quella che lo stesso titolo della legge definisce "</w:t>
      </w:r>
      <w:r w:rsidRPr="00B67622">
        <w:rPr>
          <w:b/>
          <w:bCs/>
          <w:u w:val="single"/>
        </w:rPr>
        <w:t>elezione diretta del Presidente della Giunta regionale</w:t>
      </w:r>
      <w:r w:rsidRPr="00B67622">
        <w:rPr>
          <w:b/>
          <w:bCs/>
        </w:rPr>
        <w:t>”, espressione ricorrente nel quinto comma dell’art. 122 della Costituzione e nel terzo comma dell’art. 126 della Costituzione, e poi sostanzialmente sviluppata nell’art. 5 della legge costituzionale n. 1 del 1999 come soluzione provvisoriamente vigente fino all'adozione dei nuovi statuti regionali e delle conseguenti leggi elettorali regionali.</w:t>
      </w:r>
    </w:p>
    <w:p w14:paraId="5CE6B9DB" w14:textId="77777777" w:rsidR="00B67622" w:rsidRPr="00B67622" w:rsidRDefault="00B67622" w:rsidP="00B67622">
      <w:pPr>
        <w:jc w:val="both"/>
        <w:rPr>
          <w:b/>
          <w:bCs/>
        </w:rPr>
      </w:pPr>
      <w:r w:rsidRPr="00B67622">
        <w:rPr>
          <w:b/>
          <w:bCs/>
        </w:rPr>
        <w:t xml:space="preserve">Al di là delle molteplici e differenziate definizioni e classificazioni dottrinali in astratto possibili, specie </w:t>
      </w:r>
      <w:r w:rsidRPr="00B67622">
        <w:rPr>
          <w:b/>
          <w:bCs/>
          <w:color w:val="EE0000"/>
        </w:rPr>
        <w:t xml:space="preserve">sulla base della comparazione </w:t>
      </w:r>
      <w:r w:rsidRPr="00B67622">
        <w:rPr>
          <w:b/>
          <w:bCs/>
        </w:rPr>
        <w:t>fra i diversi sistemi di selezione dei vertici degli organi di governo delle varie istituzioni, questa Corte ha già rilevato nella</w:t>
      </w:r>
      <w:hyperlink r:id="rId8" w:history="1">
        <w:r w:rsidRPr="00B67622">
          <w:rPr>
            <w:rStyle w:val="Collegamentoipertestuale"/>
            <w:b/>
            <w:bCs/>
          </w:rPr>
          <w:t> sentenza n. 304 del 2002</w:t>
        </w:r>
      </w:hyperlink>
      <w:r w:rsidRPr="00B67622">
        <w:rPr>
          <w:b/>
          <w:bCs/>
        </w:rPr>
        <w:t xml:space="preserve"> con riferimento all’art. 5 della legge costituzionale n. 1 del 1999, che "nella valutazione del legislatore costituzionale l’elezione del Presidente della Giunta è assimilabile, quanto a legittimazione popolare acquisita dall’eletto, ad una vera e propria elezione a suffragio diretto”. Può inoltre aggiungersi che analogo sistema, anch’esso definito elezione "a suffragio universale e diretto” dall’art. 46 del decreto legislativo 18 agosto 2000, n. 267 (Testo unico delle leggi sull’ordinamento degli enti locali), è invero  da tempo previsto dalla legislazione relativa all’elezione dei Sindaci e dei Presidenti delle Province (questa normativa – come ben noto – in realtà risale alla legge 25 marzo 1993, n. 81 recante "Elezione diretta del sindaco, del presidente della provincia, del consigliere comunale, del consigliere provinciale”), e ha preceduto largamente la legge </w:t>
      </w:r>
      <w:r w:rsidRPr="00B67622">
        <w:rPr>
          <w:b/>
          <w:bCs/>
        </w:rPr>
        <w:lastRenderedPageBreak/>
        <w:t>costituzionale n. 1 del 1999, rispetto alla quale anzi ha sicuramente costituito un importante modello di riferimento.</w:t>
      </w:r>
    </w:p>
    <w:p w14:paraId="1A74F41B" w14:textId="0B5AED5A" w:rsidR="00B67622" w:rsidRPr="00B67622" w:rsidRDefault="00B67622" w:rsidP="00B67622">
      <w:pPr>
        <w:jc w:val="both"/>
        <w:rPr>
          <w:b/>
          <w:bCs/>
        </w:rPr>
      </w:pPr>
      <w:r w:rsidRPr="00B67622">
        <w:rPr>
          <w:b/>
          <w:bCs/>
        </w:rPr>
        <w:t xml:space="preserve">Mentre senza dubbio non equivale ad un sistema elettorale di tipo diretto ogni meccanismo elettorale di stabilizzazione delle maggioranze di governo o anche di mera indicazione come capolista nella scheda elettorale del massimo esponente politico della lista o dello schieramento politico, il sistema elettorale configurato dall’art. 5 della legge costituzionale n. 1 del 1999 disciplinano certamente </w:t>
      </w:r>
      <w:r w:rsidRPr="00B67622">
        <w:rPr>
          <w:b/>
          <w:bCs/>
          <w:u w:val="single"/>
        </w:rPr>
        <w:t>una forma di "elezione diretta del Presidente della Giunta regionale” (come appunto recita il titolo della legge costituzionale).</w:t>
      </w:r>
    </w:p>
    <w:p w14:paraId="13C578B8" w14:textId="77777777" w:rsidR="00B67622" w:rsidRPr="00B67622" w:rsidRDefault="00B67622" w:rsidP="00B67622">
      <w:pPr>
        <w:jc w:val="both"/>
        <w:rPr>
          <w:b/>
          <w:bCs/>
        </w:rPr>
      </w:pPr>
      <w:r w:rsidRPr="00B67622">
        <w:rPr>
          <w:b/>
          <w:bCs/>
        </w:rPr>
        <w:t xml:space="preserve">Ciò, in primo luogo, attraverso la previsione di una futura "normale” forma di governo </w:t>
      </w:r>
      <w:r w:rsidRPr="00B67622">
        <w:rPr>
          <w:b/>
          <w:bCs/>
          <w:u w:val="single"/>
        </w:rPr>
        <w:t xml:space="preserve">espressa sinteticamente con le parole "Presidente eletto a suffragio universale e diretto” e caratterizzata dall’attribuzione ad esso di </w:t>
      </w:r>
      <w:r w:rsidRPr="00B67622">
        <w:rPr>
          <w:b/>
          <w:bCs/>
          <w:color w:val="EE0000"/>
          <w:u w:val="single"/>
        </w:rPr>
        <w:t xml:space="preserve">forti e tipici poteri per la gestione unitaria dell’indirizzo politico </w:t>
      </w:r>
      <w:r w:rsidRPr="00B67622">
        <w:rPr>
          <w:b/>
          <w:bCs/>
          <w:u w:val="single"/>
        </w:rPr>
        <w:t>e amministrativo della Regione</w:t>
      </w:r>
      <w:r w:rsidRPr="00B67622">
        <w:rPr>
          <w:b/>
          <w:bCs/>
        </w:rPr>
        <w:t xml:space="preserve"> (nomina e revoca dei componenti della Giunta, potere di dimettersi facendo automaticamente sciogliere sia la Giunta che il Consiglio regionale); in secondo luogo, </w:t>
      </w:r>
      <w:r w:rsidRPr="00B67622">
        <w:rPr>
          <w:b/>
          <w:bCs/>
          <w:u w:val="single"/>
        </w:rPr>
        <w:t xml:space="preserve">attraverso la analitica disciplina – in via transitoria, in stretto parallelismo e per la prima volta a  livello regionale – di un tipo di elezione diretta del Presidente della Giunta, con la previsione dell’elezione del candidato che, inserito a capo di una lista elettorale, consegua il maggior numero dei voti a livello regionale </w:t>
      </w:r>
      <w:r w:rsidRPr="00B67622">
        <w:rPr>
          <w:b/>
          <w:bCs/>
        </w:rPr>
        <w:t>e con il riconoscimento al Presidente eletto degli identici poteri previsti dagli articoli 122, quinto comma, e 126, terzo comma, della Costituzione.</w:t>
      </w:r>
    </w:p>
    <w:p w14:paraId="19B4D435" w14:textId="77777777" w:rsidR="00B67622" w:rsidRPr="00B67622" w:rsidRDefault="00B67622" w:rsidP="00B67622">
      <w:pPr>
        <w:jc w:val="both"/>
        <w:rPr>
          <w:b/>
          <w:bCs/>
        </w:rPr>
      </w:pPr>
      <w:r w:rsidRPr="00B67622">
        <w:rPr>
          <w:b/>
          <w:bCs/>
        </w:rPr>
        <w:t xml:space="preserve">Tale scelta per una radicale semplificazione del sistema politico a livello regionale e per la unificazione dello schieramento maggioritario intorno alla figura del Presidente della Giunta, pur imposta temporaneamente al sistema politico regionale ed anche indicata come "normale” possibilità di assetto istituzionale, può essere però legittimamente sostituita da altri modelli di organizzazione dei rapporti fra corpo elettorale, consiglieri regionali e Presidente della Giunta, che in sede di elaborazione statutaria possano essere considerati più idonei a meglio rappresentare le diverse realtà sociali e territoriali delle nostre regioni o anche più adatti per alcuni sistemi politici regionali. Peraltro, questa possibilità di optare per uno dei tanti possibili modelli diversi di forme di governo regionali non fondate sull’elezione diretta del Presidente della Giunta trova </w:t>
      </w:r>
      <w:r w:rsidRPr="00B67622">
        <w:rPr>
          <w:b/>
          <w:bCs/>
          <w:u w:val="single"/>
        </w:rPr>
        <w:t>un limite del tutto evidente nella volontà del legislatore di revisione costituzionale di prevedere ipotesi di elezione diretta nel solo caso del Presidente della Giunta</w:t>
      </w:r>
      <w:r w:rsidRPr="00B67622">
        <w:rPr>
          <w:b/>
          <w:bCs/>
        </w:rPr>
        <w:t>, al cui ruolo personale di mantenimento dell’unità dell’indirizzo politico e amministrativo si conferisce ampio credito, tanto da affidargli, come accennato, anche alcuni decisivi poteri politici.</w:t>
      </w:r>
    </w:p>
    <w:p w14:paraId="493DB2EB" w14:textId="77777777" w:rsidR="00B67622" w:rsidRPr="00B67622" w:rsidRDefault="00B67622" w:rsidP="00B67622">
      <w:pPr>
        <w:jc w:val="both"/>
        <w:rPr>
          <w:b/>
          <w:bCs/>
        </w:rPr>
      </w:pPr>
      <w:r w:rsidRPr="00B67622">
        <w:t>  </w:t>
      </w:r>
      <w:r w:rsidRPr="00B67622">
        <w:rPr>
          <w:b/>
          <w:bCs/>
        </w:rPr>
        <w:t xml:space="preserve">Ciò sembra pienamente condiviso dalla stessa Regione Calabria, che infatti sostiene di aver fatto una scelta istituzionale diversa da quella della elezione a suffragio diretto del Presidente, fondamentalmente perché l’immissione nell’ufficio di Presidente (e di Vice Presidente) avverrebbe solo dopo il voto del Consiglio e solo in ragione di esso, mentre l’approvazione consiliare del programma di governo instaurerebbe tra Presidente della Giunta e Consiglio regionale </w:t>
      </w:r>
      <w:r w:rsidRPr="00B67622">
        <w:rPr>
          <w:b/>
          <w:bCs/>
          <w:u w:val="single"/>
        </w:rPr>
        <w:t>un rapporto politico diverso</w:t>
      </w:r>
      <w:r w:rsidRPr="00B67622">
        <w:rPr>
          <w:b/>
          <w:bCs/>
        </w:rPr>
        <w:t xml:space="preserve"> rispetto a quello che consegue all’elezione a suffragio universale e diretto. Per tali ragioni la difesa della resistente giunge ad asserire che "lo statuto calabrese si muove (...) nell’ambito della forma di governo parlamentare con i correttivi che l’evoluzione recente del sistema politico italiano ha prodotto”.</w:t>
      </w:r>
    </w:p>
    <w:p w14:paraId="5F05CE04" w14:textId="77777777" w:rsidR="00B67622" w:rsidRPr="00B67622" w:rsidRDefault="00B67622" w:rsidP="00B67622">
      <w:pPr>
        <w:jc w:val="both"/>
        <w:rPr>
          <w:b/>
          <w:bCs/>
        </w:rPr>
      </w:pPr>
      <w:r w:rsidRPr="00B67622">
        <w:t>  </w:t>
      </w:r>
      <w:r w:rsidRPr="00B67622">
        <w:rPr>
          <w:b/>
          <w:bCs/>
        </w:rPr>
        <w:t xml:space="preserve">Peraltro, non può non notarsi che il sistema configurato nell’art. 33 del testo statutario appare invece caratterizzato da un meccanismo di elezione diretta del Presidente e del </w:t>
      </w:r>
      <w:proofErr w:type="gramStart"/>
      <w:r w:rsidRPr="00B67622">
        <w:rPr>
          <w:b/>
          <w:bCs/>
        </w:rPr>
        <w:t>Vice Presidente</w:t>
      </w:r>
      <w:proofErr w:type="gramEnd"/>
      <w:r w:rsidRPr="00B67622">
        <w:rPr>
          <w:b/>
          <w:bCs/>
        </w:rPr>
        <w:t xml:space="preserve"> della Giunta, del tutto analogo a quello disciplinato per il solo Presidente dall’art. 5 della legge cost. n. 1 del 1999, salva la diversità che la preposizione alla carica consegue non alla mera proclamazione dei risultati elettorali, ma alla "nomina” da parte del Consiglio regionale; questa diversità appare </w:t>
      </w:r>
      <w:r w:rsidRPr="00B67622">
        <w:rPr>
          <w:b/>
          <w:bCs/>
          <w:u w:val="single"/>
        </w:rPr>
        <w:t>tuttavia essenzialmente formale</w:t>
      </w:r>
      <w:r w:rsidRPr="00B67622">
        <w:rPr>
          <w:b/>
          <w:bCs/>
        </w:rPr>
        <w:t xml:space="preserve"> se si considera che, ai sensi del secondo comma </w:t>
      </w:r>
      <w:r w:rsidRPr="00B67622">
        <w:rPr>
          <w:b/>
          <w:bCs/>
        </w:rPr>
        <w:lastRenderedPageBreak/>
        <w:t>dell’art. 33, il Consiglio regionale procede "sulla base dell’investitura popolare espressa dagli elettori, nella sua prima seduta” e che "la mancata nomina del Presidente e del Vice Presidente indicati dal corpo elettorale comporta lo scioglimento del Consiglio regionale”.</w:t>
      </w:r>
      <w:r w:rsidRPr="00B67622">
        <w:t xml:space="preserve"> </w:t>
      </w:r>
      <w:r w:rsidRPr="00B67622">
        <w:rPr>
          <w:b/>
          <w:bCs/>
        </w:rPr>
        <w:t>Ciò porta a ritenere che il Consiglio regionale sia anche giuridicamente vincolato ad uniformarsi alla scelta compiuta dal corpo elettorale, a pena del suo stesso scioglimento.</w:t>
      </w:r>
    </w:p>
    <w:p w14:paraId="7CBD57D3" w14:textId="77777777" w:rsidR="00B67622" w:rsidRPr="00B67622" w:rsidRDefault="00B67622" w:rsidP="00B67622">
      <w:pPr>
        <w:jc w:val="both"/>
      </w:pPr>
      <w:r w:rsidRPr="00B67622">
        <w:rPr>
          <w:b/>
          <w:bCs/>
        </w:rPr>
        <w:t xml:space="preserve">  Al tempo stesso, diversamente da quanto normalmente accade quando si conferisce un potere di nomina, per l’art. 33 nessun altro consigliere eletto può essere nominato Presidente o </w:t>
      </w:r>
      <w:proofErr w:type="gramStart"/>
      <w:r w:rsidRPr="00B67622">
        <w:rPr>
          <w:b/>
          <w:bCs/>
        </w:rPr>
        <w:t>Vice Presidente</w:t>
      </w:r>
      <w:proofErr w:type="gramEnd"/>
      <w:r w:rsidRPr="00B67622">
        <w:rPr>
          <w:b/>
          <w:bCs/>
        </w:rPr>
        <w:t xml:space="preserve">: ciò conferma che ci si trova dinanzi </w:t>
      </w:r>
      <w:r w:rsidRPr="00B67622">
        <w:rPr>
          <w:b/>
          <w:bCs/>
          <w:u w:val="single"/>
        </w:rPr>
        <w:t>ad un procedimento di elezione diretta del Presidente e del Vice Presidente</w:t>
      </w:r>
      <w:r w:rsidRPr="00B67622">
        <w:rPr>
          <w:b/>
          <w:bCs/>
        </w:rPr>
        <w:t>, solo mascherato da una sorta di obbligatoria "presa d’atto” da parte del Consiglio regionale</w:t>
      </w:r>
      <w:r w:rsidRPr="00B67622">
        <w:t>.</w:t>
      </w:r>
    </w:p>
    <w:p w14:paraId="06DF3AD5" w14:textId="77777777" w:rsidR="00B67622" w:rsidRPr="00B67622" w:rsidRDefault="00B67622" w:rsidP="00B67622">
      <w:pPr>
        <w:jc w:val="both"/>
        <w:rPr>
          <w:b/>
          <w:bCs/>
        </w:rPr>
      </w:pPr>
      <w:r w:rsidRPr="00B67622">
        <w:t>  </w:t>
      </w:r>
      <w:r w:rsidRPr="00B67622">
        <w:rPr>
          <w:b/>
          <w:bCs/>
        </w:rPr>
        <w:t xml:space="preserve">Non a caso, al Presidente "nominato” restano </w:t>
      </w:r>
      <w:r w:rsidRPr="00B67622">
        <w:rPr>
          <w:b/>
          <w:bCs/>
          <w:u w:val="single"/>
        </w:rPr>
        <w:t>alcuni degli speciali poteri attribuiti dalla Costituzione al Presidente eletto</w:t>
      </w:r>
      <w:r w:rsidRPr="00B67622">
        <w:rPr>
          <w:b/>
          <w:bCs/>
        </w:rPr>
        <w:t xml:space="preserve"> (nomina e revoca dei componenti della Giunta, scioglimento del Consiglio regionale se viene adottata una mozione di sfiducia nei suoi riguardi), mentre gli vengono sottratti i poteri di produrre lo scioglimento del Consiglio nei casi in cui si verifichi la sua "rimozione, l’impedimento permanente, la morte o le dimissioni volontarie” (per citare l’elencazione di cui al terzo comma dell’art. 126 della Costituzione).</w:t>
      </w:r>
    </w:p>
    <w:p w14:paraId="3CE0B68D" w14:textId="77777777" w:rsidR="00B67622" w:rsidRPr="00B67622" w:rsidRDefault="00B67622" w:rsidP="00B67622">
      <w:pPr>
        <w:jc w:val="both"/>
        <w:rPr>
          <w:b/>
          <w:bCs/>
        </w:rPr>
      </w:pPr>
      <w:r w:rsidRPr="00B67622">
        <w:t>  </w:t>
      </w:r>
      <w:r w:rsidRPr="00B67622">
        <w:rPr>
          <w:b/>
          <w:bCs/>
        </w:rPr>
        <w:t xml:space="preserve">In particolare, l’eliminazione del potere presidenziale di fare eventualmente venir meno, tramite le proprie </w:t>
      </w:r>
      <w:r w:rsidRPr="00B67622">
        <w:rPr>
          <w:b/>
          <w:bCs/>
          <w:color w:val="EE0000"/>
        </w:rPr>
        <w:t>dimissioni,</w:t>
      </w:r>
      <w:r w:rsidRPr="00B67622">
        <w:rPr>
          <w:b/>
          <w:bCs/>
        </w:rPr>
        <w:t xml:space="preserve"> la permanenza in carica dello stesso Consiglio regionale, </w:t>
      </w:r>
      <w:r w:rsidRPr="00B67622">
        <w:rPr>
          <w:b/>
          <w:bCs/>
          <w:color w:val="EE0000"/>
        </w:rPr>
        <w:t>riduce radicalmente i suoi poteri di indirizzo</w:t>
      </w:r>
      <w:r w:rsidRPr="00B67622">
        <w:rPr>
          <w:b/>
          <w:bCs/>
        </w:rPr>
        <w:t xml:space="preserve">, laddove </w:t>
      </w:r>
      <w:r w:rsidRPr="00B67622">
        <w:rPr>
          <w:b/>
          <w:bCs/>
          <w:color w:val="EE0000"/>
        </w:rPr>
        <w:t xml:space="preserve">il </w:t>
      </w:r>
      <w:proofErr w:type="gramStart"/>
      <w:r w:rsidRPr="00B67622">
        <w:rPr>
          <w:b/>
          <w:bCs/>
          <w:color w:val="EE0000"/>
        </w:rPr>
        <w:t>Vice Presidente</w:t>
      </w:r>
      <w:proofErr w:type="gramEnd"/>
      <w:r w:rsidRPr="00B67622">
        <w:rPr>
          <w:b/>
          <w:bCs/>
          <w:color w:val="EE0000"/>
        </w:rPr>
        <w:t>, ne può disporre ove subentri nella presidenza</w:t>
      </w:r>
      <w:r w:rsidRPr="00B67622">
        <w:rPr>
          <w:b/>
          <w:bCs/>
        </w:rPr>
        <w:t xml:space="preserve">. Ad ulteriore rafforzamento di quest’ultima figura, che appare tutt’altro che marginale nel testo statutario malgrado che non risulti fra gli organi regionali necessari di cui al primo comma dell’art. 121 della Costituzione, vi è inoltre da considerare che la "mozione sul programma di governo” (di cui al secondo comma dell’art. 33) è presentata al Consiglio regionale sia dal Presidente che dal </w:t>
      </w:r>
      <w:proofErr w:type="gramStart"/>
      <w:r w:rsidRPr="00B67622">
        <w:rPr>
          <w:b/>
          <w:bCs/>
        </w:rPr>
        <w:t>Vice Presidente</w:t>
      </w:r>
      <w:proofErr w:type="gramEnd"/>
      <w:r w:rsidRPr="00B67622">
        <w:rPr>
          <w:b/>
          <w:bCs/>
        </w:rPr>
        <w:t>.</w:t>
      </w:r>
    </w:p>
    <w:p w14:paraId="13C80968" w14:textId="77777777" w:rsidR="00B67622" w:rsidRPr="00B67622" w:rsidRDefault="00B67622" w:rsidP="00B67622">
      <w:pPr>
        <w:jc w:val="both"/>
      </w:pPr>
      <w:r w:rsidRPr="00B67622">
        <w:rPr>
          <w:b/>
          <w:bCs/>
        </w:rPr>
        <w:t xml:space="preserve">  Se si aggiunge che nel sistema dello statuto calabrese deliberato dal Consiglio regionale il </w:t>
      </w:r>
      <w:r w:rsidRPr="00B67622">
        <w:rPr>
          <w:b/>
          <w:bCs/>
          <w:color w:val="EE0000"/>
        </w:rPr>
        <w:t xml:space="preserve">Presidente non può nemmeno porre autonomamente la questione di fiducia </w:t>
      </w:r>
      <w:r w:rsidRPr="00B67622">
        <w:rPr>
          <w:b/>
          <w:bCs/>
        </w:rPr>
        <w:t xml:space="preserve">(così l'art. 34, comma 1, lettera f), dal momento che </w:t>
      </w:r>
      <w:r w:rsidRPr="00B67622">
        <w:rPr>
          <w:b/>
          <w:bCs/>
          <w:color w:val="EE0000"/>
        </w:rPr>
        <w:t>deve previamente conseguire il consenso della Giunta su questa iniziativa</w:t>
      </w:r>
      <w:r w:rsidRPr="00B67622">
        <w:rPr>
          <w:b/>
          <w:bCs/>
        </w:rPr>
        <w:t>, ne emerge una figura politica dai poteri sostanzialmente ridotti rispetto a quelli attribuiti dalla Costituzione al Presidente "eletto a suffragio universale e diretto</w:t>
      </w:r>
      <w:r w:rsidRPr="00B67622">
        <w:t>”.</w:t>
      </w:r>
    </w:p>
    <w:p w14:paraId="7C1D8783" w14:textId="59174F09" w:rsidR="00B67622" w:rsidRDefault="00B67622" w:rsidP="00B67622">
      <w:pPr>
        <w:jc w:val="both"/>
        <w:rPr>
          <w:b/>
          <w:bCs/>
        </w:rPr>
      </w:pPr>
      <w:r w:rsidRPr="00B67622">
        <w:t>  </w:t>
      </w:r>
      <w:r w:rsidRPr="00B67622">
        <w:rPr>
          <w:b/>
          <w:bCs/>
        </w:rPr>
        <w:t xml:space="preserve">Sul punto può quindi concludersi che il sistema configurato dall’art. 33 della delibera legislativa concernente lo statuto calabrese consiste sostanzialmente nella elezione diretta del Presidente e del </w:t>
      </w:r>
      <w:proofErr w:type="gramStart"/>
      <w:r w:rsidRPr="00B67622">
        <w:rPr>
          <w:b/>
          <w:bCs/>
        </w:rPr>
        <w:t>Vice Presidente</w:t>
      </w:r>
      <w:proofErr w:type="gramEnd"/>
      <w:r w:rsidRPr="00B67622">
        <w:rPr>
          <w:b/>
          <w:bCs/>
        </w:rPr>
        <w:t xml:space="preserve">, in violazione degli articoli 122, quinto comma, della Costituzione a causa dell’elezione diretta anche del Vice Presidente, e 126, terzo comma, della Costituzione, a causa della riduzione dei poteri del Presidente della Giunta eletto a suffragio universale e diretto. </w:t>
      </w:r>
    </w:p>
    <w:p w14:paraId="284E2519" w14:textId="7FACB214" w:rsidR="00257A80" w:rsidRPr="00B67622" w:rsidRDefault="00257A80" w:rsidP="00B67622">
      <w:pPr>
        <w:jc w:val="both"/>
        <w:rPr>
          <w:b/>
          <w:bCs/>
        </w:rPr>
      </w:pPr>
      <w:r>
        <w:rPr>
          <w:b/>
          <w:bCs/>
        </w:rPr>
        <w:t>[…]</w:t>
      </w:r>
    </w:p>
    <w:p w14:paraId="79BFA0BB" w14:textId="0C1639FA" w:rsidR="00B67622" w:rsidRPr="00B67622" w:rsidRDefault="00B67622" w:rsidP="00323F03">
      <w:pPr>
        <w:jc w:val="both"/>
      </w:pPr>
      <w:r w:rsidRPr="00B67622">
        <w:t>  </w:t>
      </w:r>
    </w:p>
    <w:p w14:paraId="47861B6C" w14:textId="77777777" w:rsidR="00B67622" w:rsidRPr="00B67622" w:rsidRDefault="00B67622" w:rsidP="00B67622">
      <w:pPr>
        <w:jc w:val="both"/>
      </w:pPr>
      <w:r w:rsidRPr="00B67622">
        <w:t>PER QUESTI MOTIVI</w:t>
      </w:r>
    </w:p>
    <w:p w14:paraId="7ED6D0E0" w14:textId="77777777" w:rsidR="00B67622" w:rsidRPr="00B67622" w:rsidRDefault="00B67622" w:rsidP="00B67622">
      <w:pPr>
        <w:jc w:val="both"/>
      </w:pPr>
      <w:r w:rsidRPr="00B67622">
        <w:t>LA CORTE COSTITUZIONALE</w:t>
      </w:r>
    </w:p>
    <w:p w14:paraId="12182EFE" w14:textId="77777777" w:rsidR="00B67622" w:rsidRPr="00B67622" w:rsidRDefault="00B67622" w:rsidP="00B67622">
      <w:pPr>
        <w:jc w:val="both"/>
      </w:pPr>
      <w:r w:rsidRPr="00B67622">
        <w:t>dichiara l’illegittimità costituzionale dell’art. 33, commi 1, 2, 3, 4, 5 e 7, dello statuto della Regione Calabria, approvato in prima deliberazione il 13 maggio 2003 e, in seconda deliberazione, il 31 luglio 2003;</w:t>
      </w:r>
    </w:p>
    <w:p w14:paraId="44CF8570" w14:textId="77777777" w:rsidR="00B67622" w:rsidRPr="00B67622" w:rsidRDefault="00B67622" w:rsidP="00B67622">
      <w:pPr>
        <w:jc w:val="both"/>
      </w:pPr>
      <w:r w:rsidRPr="00B67622">
        <w:lastRenderedPageBreak/>
        <w:t xml:space="preserve">dichiara, ai sensi dell’art. 27 della legge 11 marzo 1953, n. 87, l’illegittimità costituzionale dell’art. 15; dell’art. 16, comma 2, lettere a) e b), e dell’art. 38, comma 1, lettera c), del </w:t>
      </w:r>
      <w:proofErr w:type="gramStart"/>
      <w:r w:rsidRPr="00B67622">
        <w:t>predetto</w:t>
      </w:r>
      <w:proofErr w:type="gramEnd"/>
      <w:r w:rsidRPr="00B67622">
        <w:t xml:space="preserve"> statuto della Regione Calabria;</w:t>
      </w:r>
    </w:p>
    <w:p w14:paraId="683EF83F" w14:textId="77777777" w:rsidR="00B67622" w:rsidRPr="00B67622" w:rsidRDefault="00B67622" w:rsidP="00B67622">
      <w:pPr>
        <w:jc w:val="both"/>
      </w:pPr>
      <w:r w:rsidRPr="00B67622">
        <w:t xml:space="preserve">dichiara l’illegittimità costituzionale dell’art. 38, comma 1, lettere a) ed </w:t>
      </w:r>
      <w:proofErr w:type="gramStart"/>
      <w:r w:rsidRPr="00B67622">
        <w:t>e</w:t>
      </w:r>
      <w:proofErr w:type="gramEnd"/>
      <w:r w:rsidRPr="00B67622">
        <w:t>), del predetto statuto della Regione Calabria;</w:t>
      </w:r>
    </w:p>
    <w:p w14:paraId="52C66B91" w14:textId="77777777" w:rsidR="00B67622" w:rsidRPr="00B67622" w:rsidRDefault="00B67622" w:rsidP="00B67622">
      <w:pPr>
        <w:jc w:val="both"/>
      </w:pPr>
      <w:r w:rsidRPr="00B67622">
        <w:t>dichiara non fondata la questione di legittimità costituzionale degli artt. 34, comma 1, lettera i), e 43, comma 2, del citato statuto della Regione Calabria, sollevata dal Presidente del Consiglio dei ministri, in riferimento all’art. 121 della Costituzione, con il ricorso indicato in epigrafe;</w:t>
      </w:r>
    </w:p>
    <w:p w14:paraId="21197BFC" w14:textId="77777777" w:rsidR="00B67622" w:rsidRPr="00B67622" w:rsidRDefault="00B67622" w:rsidP="00B67622">
      <w:pPr>
        <w:jc w:val="both"/>
      </w:pPr>
      <w:r w:rsidRPr="00B67622">
        <w:t xml:space="preserve">dichiara non fondata la questione di legittimità costituzionale dell’art. 50, comma 5, del </w:t>
      </w:r>
      <w:proofErr w:type="gramStart"/>
      <w:r w:rsidRPr="00B67622">
        <w:t>predetto</w:t>
      </w:r>
      <w:proofErr w:type="gramEnd"/>
      <w:r w:rsidRPr="00B67622">
        <w:t xml:space="preserve"> statuto della Regione Calabria, sollevata dal Presidente del Consiglio dei ministri, in riferimento all’art. 117, secondo comma, lettera l), della Costituzione, con il ricorso indicato in epigrafe;</w:t>
      </w:r>
    </w:p>
    <w:p w14:paraId="69B63202" w14:textId="77777777" w:rsidR="00B67622" w:rsidRPr="00B67622" w:rsidRDefault="00B67622" w:rsidP="00B67622">
      <w:pPr>
        <w:jc w:val="both"/>
      </w:pPr>
      <w:r w:rsidRPr="00B67622">
        <w:t>dichiara non fondata la questione di legittimità costituzionale dell’art. 51 del citato statuto della Regione Calabria, sollevata dal Presidente del Consiglio dei ministri, in riferimento all’art. 123 della Costituzione, con il ricorso indicato in epigrafe;</w:t>
      </w:r>
    </w:p>
    <w:p w14:paraId="0DA9712A" w14:textId="77777777" w:rsidR="00B67622" w:rsidRPr="00B67622" w:rsidRDefault="00B67622" w:rsidP="00B67622">
      <w:pPr>
        <w:jc w:val="both"/>
      </w:pPr>
      <w:r w:rsidRPr="00B67622">
        <w:t>dichiara la manifesta infondatezza della questione di legittimità costituzionale dell’art. 126, terzo comma, della Costituzione, in riferimento agli artt. 3, 97, 123, 92 e 94 della Costituzione e, in particolare, al principio del parlamentarismo che ne sarebbe deducibile, che la Regione Calabria ha chiesto a questa Corte di sollevare dinnanzi a sé con la memoria di costituzione in giudizio.</w:t>
      </w:r>
    </w:p>
    <w:p w14:paraId="38670417" w14:textId="77777777" w:rsidR="00B67622" w:rsidRPr="00B67622" w:rsidRDefault="00B67622" w:rsidP="00B67622">
      <w:pPr>
        <w:jc w:val="both"/>
      </w:pPr>
      <w:r w:rsidRPr="00B67622">
        <w:t>Così deciso in Roma, nella sede della Corte costituzionale, Palazzo della Consulta, il 18 dicembre 2003.</w:t>
      </w:r>
    </w:p>
    <w:p w14:paraId="6314CA28" w14:textId="77777777" w:rsidR="00B67622" w:rsidRPr="00B67622" w:rsidRDefault="00B67622" w:rsidP="00B67622">
      <w:pPr>
        <w:jc w:val="both"/>
      </w:pPr>
      <w:r w:rsidRPr="00B67622">
        <w:t>Riccardo CHIEPPA, Presidente</w:t>
      </w:r>
    </w:p>
    <w:p w14:paraId="2F9C5EA3" w14:textId="77777777" w:rsidR="00B67622" w:rsidRPr="00B67622" w:rsidRDefault="00B67622" w:rsidP="00B67622">
      <w:pPr>
        <w:jc w:val="both"/>
      </w:pPr>
      <w:r w:rsidRPr="00B67622">
        <w:t>Ugo DE SIERVO, Redattore</w:t>
      </w:r>
    </w:p>
    <w:p w14:paraId="1CE76198" w14:textId="77777777" w:rsidR="00B67622" w:rsidRPr="00B67622" w:rsidRDefault="00B67622" w:rsidP="00B67622">
      <w:pPr>
        <w:jc w:val="both"/>
      </w:pPr>
      <w:r w:rsidRPr="00B67622">
        <w:t>Depositata in Cancelleria il 13 gennaio 2004</w:t>
      </w:r>
    </w:p>
    <w:p w14:paraId="4489E647" w14:textId="77777777" w:rsidR="00B50B1F" w:rsidRDefault="00B50B1F"/>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67D"/>
    <w:rsid w:val="00003F0B"/>
    <w:rsid w:val="0008447B"/>
    <w:rsid w:val="001B3AF8"/>
    <w:rsid w:val="001D2644"/>
    <w:rsid w:val="00257A80"/>
    <w:rsid w:val="00285317"/>
    <w:rsid w:val="002A3562"/>
    <w:rsid w:val="002F4FE6"/>
    <w:rsid w:val="00323F03"/>
    <w:rsid w:val="003469BA"/>
    <w:rsid w:val="0047590E"/>
    <w:rsid w:val="004B025C"/>
    <w:rsid w:val="004D4067"/>
    <w:rsid w:val="0052591B"/>
    <w:rsid w:val="0053267D"/>
    <w:rsid w:val="00594638"/>
    <w:rsid w:val="006E0ED7"/>
    <w:rsid w:val="00745F10"/>
    <w:rsid w:val="007D2F86"/>
    <w:rsid w:val="00852B36"/>
    <w:rsid w:val="00930C23"/>
    <w:rsid w:val="00A34AA7"/>
    <w:rsid w:val="00A47455"/>
    <w:rsid w:val="00B50B1F"/>
    <w:rsid w:val="00B67622"/>
    <w:rsid w:val="00EA31EC"/>
    <w:rsid w:val="00FC3FB8"/>
    <w:rsid w:val="00FD7092"/>
    <w:rsid w:val="00FE694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7B22E"/>
  <w15:chartTrackingRefBased/>
  <w15:docId w15:val="{242E9D80-101A-4DC6-BA42-0D2B26552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53267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53267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53267D"/>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53267D"/>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53267D"/>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53267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53267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53267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53267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3267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53267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53267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53267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53267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53267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53267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53267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53267D"/>
    <w:rPr>
      <w:rFonts w:eastAsiaTheme="majorEastAsia" w:cstheme="majorBidi"/>
      <w:color w:val="272727" w:themeColor="text1" w:themeTint="D8"/>
    </w:rPr>
  </w:style>
  <w:style w:type="paragraph" w:styleId="Titolo">
    <w:name w:val="Title"/>
    <w:basedOn w:val="Normale"/>
    <w:next w:val="Normale"/>
    <w:link w:val="TitoloCarattere"/>
    <w:uiPriority w:val="10"/>
    <w:qFormat/>
    <w:rsid w:val="0053267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3267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53267D"/>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53267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53267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53267D"/>
    <w:rPr>
      <w:i/>
      <w:iCs/>
      <w:color w:val="404040" w:themeColor="text1" w:themeTint="BF"/>
    </w:rPr>
  </w:style>
  <w:style w:type="paragraph" w:styleId="Paragrafoelenco">
    <w:name w:val="List Paragraph"/>
    <w:basedOn w:val="Normale"/>
    <w:uiPriority w:val="34"/>
    <w:qFormat/>
    <w:rsid w:val="0053267D"/>
    <w:pPr>
      <w:ind w:left="720"/>
      <w:contextualSpacing/>
    </w:pPr>
  </w:style>
  <w:style w:type="character" w:styleId="Enfasiintensa">
    <w:name w:val="Intense Emphasis"/>
    <w:basedOn w:val="Carpredefinitoparagrafo"/>
    <w:uiPriority w:val="21"/>
    <w:qFormat/>
    <w:rsid w:val="0053267D"/>
    <w:rPr>
      <w:i/>
      <w:iCs/>
      <w:color w:val="0F4761" w:themeColor="accent1" w:themeShade="BF"/>
    </w:rPr>
  </w:style>
  <w:style w:type="paragraph" w:styleId="Citazioneintensa">
    <w:name w:val="Intense Quote"/>
    <w:basedOn w:val="Normale"/>
    <w:next w:val="Normale"/>
    <w:link w:val="CitazioneintensaCarattere"/>
    <w:uiPriority w:val="30"/>
    <w:qFormat/>
    <w:rsid w:val="005326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53267D"/>
    <w:rPr>
      <w:i/>
      <w:iCs/>
      <w:color w:val="0F4761" w:themeColor="accent1" w:themeShade="BF"/>
    </w:rPr>
  </w:style>
  <w:style w:type="character" w:styleId="Riferimentointenso">
    <w:name w:val="Intense Reference"/>
    <w:basedOn w:val="Carpredefinitoparagrafo"/>
    <w:uiPriority w:val="32"/>
    <w:qFormat/>
    <w:rsid w:val="0053267D"/>
    <w:rPr>
      <w:b/>
      <w:bCs/>
      <w:smallCaps/>
      <w:color w:val="0F4761" w:themeColor="accent1" w:themeShade="BF"/>
      <w:spacing w:val="5"/>
    </w:rPr>
  </w:style>
  <w:style w:type="character" w:styleId="Collegamentoipertestuale">
    <w:name w:val="Hyperlink"/>
    <w:basedOn w:val="Carpredefinitoparagrafo"/>
    <w:uiPriority w:val="99"/>
    <w:unhideWhenUsed/>
    <w:rsid w:val="00B67622"/>
    <w:rPr>
      <w:color w:val="467886" w:themeColor="hyperlink"/>
      <w:u w:val="single"/>
    </w:rPr>
  </w:style>
  <w:style w:type="character" w:styleId="Menzionenonrisolta">
    <w:name w:val="Unresolved Mention"/>
    <w:basedOn w:val="Carpredefinitoparagrafo"/>
    <w:uiPriority w:val="99"/>
    <w:semiHidden/>
    <w:unhideWhenUsed/>
    <w:rsid w:val="00B676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9748800">
      <w:bodyDiv w:val="1"/>
      <w:marLeft w:val="0"/>
      <w:marRight w:val="0"/>
      <w:marTop w:val="0"/>
      <w:marBottom w:val="0"/>
      <w:divBdr>
        <w:top w:val="none" w:sz="0" w:space="0" w:color="auto"/>
        <w:left w:val="none" w:sz="0" w:space="0" w:color="auto"/>
        <w:bottom w:val="none" w:sz="0" w:space="0" w:color="auto"/>
        <w:right w:val="none" w:sz="0" w:space="0" w:color="auto"/>
      </w:divBdr>
    </w:div>
    <w:div w:id="1336764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urcost.org/decisioni/2002/0304s-02.html" TargetMode="External"/><Relationship Id="rId3" Type="http://schemas.openxmlformats.org/officeDocument/2006/relationships/webSettings" Target="webSettings.xml"/><Relationship Id="rId7" Type="http://schemas.openxmlformats.org/officeDocument/2006/relationships/hyperlink" Target="https://giurcost.org/decisioni/2003/0196s-03.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iurcost.org/decisioni/2002/0304s-02.html" TargetMode="External"/><Relationship Id="rId5" Type="http://schemas.openxmlformats.org/officeDocument/2006/relationships/hyperlink" Target="https://giurcost.org/decisioni/2003/0313s-03.html" TargetMode="External"/><Relationship Id="rId10" Type="http://schemas.openxmlformats.org/officeDocument/2006/relationships/theme" Target="theme/theme1.xml"/><Relationship Id="rId4" Type="http://schemas.openxmlformats.org/officeDocument/2006/relationships/hyperlink" Target="https://giurcost.org/decisioni/2002/0304s-02.html" TargetMode="Externa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6</Pages>
  <Words>2787</Words>
  <Characters>15892</Characters>
  <Application>Microsoft Office Word</Application>
  <DocSecurity>0</DocSecurity>
  <Lines>132</Lines>
  <Paragraphs>37</Paragraphs>
  <ScaleCrop>false</ScaleCrop>
  <Company/>
  <LinksUpToDate>false</LinksUpToDate>
  <CharactersWithSpaces>18642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27</cp:revision>
  <dcterms:created xsi:type="dcterms:W3CDTF">2025-10-22T13:51:00Z</dcterms:created>
  <dcterms:modified xsi:type="dcterms:W3CDTF">2025-10-22T14:28:00Z</dcterms:modified>
</cp:coreProperties>
</file>