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B0096B" w14:textId="77777777" w:rsidR="00A97F4F" w:rsidRPr="00A97F4F" w:rsidRDefault="00A97F4F" w:rsidP="00A97F4F">
      <w:pPr>
        <w:jc w:val="both"/>
      </w:pPr>
      <w:r w:rsidRPr="00A97F4F">
        <w:t>SENTENZA N. 12</w:t>
      </w:r>
    </w:p>
    <w:p w14:paraId="6666556A" w14:textId="77777777" w:rsidR="00A97F4F" w:rsidRPr="00A97F4F" w:rsidRDefault="00A97F4F" w:rsidP="00A97F4F">
      <w:pPr>
        <w:jc w:val="both"/>
      </w:pPr>
      <w:r w:rsidRPr="00A97F4F">
        <w:t>ANNO 2006</w:t>
      </w:r>
    </w:p>
    <w:p w14:paraId="7EE7B3F9" w14:textId="77777777" w:rsidR="00A97F4F" w:rsidRPr="00A97F4F" w:rsidRDefault="00A97F4F" w:rsidP="00A97F4F">
      <w:pPr>
        <w:jc w:val="both"/>
      </w:pPr>
      <w:r w:rsidRPr="00A97F4F">
        <w:t> </w:t>
      </w:r>
    </w:p>
    <w:p w14:paraId="79100A07" w14:textId="77777777" w:rsidR="00A97F4F" w:rsidRPr="00A97F4F" w:rsidRDefault="00A97F4F" w:rsidP="00A97F4F">
      <w:pPr>
        <w:jc w:val="both"/>
      </w:pPr>
      <w:r w:rsidRPr="00A97F4F">
        <w:t> </w:t>
      </w:r>
    </w:p>
    <w:p w14:paraId="775D98B7" w14:textId="77777777" w:rsidR="00A97F4F" w:rsidRPr="00A97F4F" w:rsidRDefault="00A97F4F" w:rsidP="00A97F4F">
      <w:pPr>
        <w:jc w:val="both"/>
      </w:pPr>
      <w:r w:rsidRPr="00A97F4F">
        <w:t>REPUBBLICA ITALIANA</w:t>
      </w:r>
    </w:p>
    <w:p w14:paraId="5CB88D27" w14:textId="77777777" w:rsidR="00A97F4F" w:rsidRPr="00A97F4F" w:rsidRDefault="00A97F4F" w:rsidP="00A97F4F">
      <w:pPr>
        <w:jc w:val="both"/>
      </w:pPr>
      <w:r w:rsidRPr="00A97F4F">
        <w:t>IN NOME DEL POPOLO ITALIANO</w:t>
      </w:r>
    </w:p>
    <w:p w14:paraId="2F0C07EE" w14:textId="77777777" w:rsidR="00A97F4F" w:rsidRPr="00A97F4F" w:rsidRDefault="00A97F4F" w:rsidP="00A97F4F">
      <w:pPr>
        <w:jc w:val="both"/>
      </w:pPr>
      <w:r w:rsidRPr="00A97F4F">
        <w:t>LA CORTE COSTITUZIONALE</w:t>
      </w:r>
    </w:p>
    <w:p w14:paraId="7B990B7A" w14:textId="77777777" w:rsidR="00A97F4F" w:rsidRPr="00A97F4F" w:rsidRDefault="00A97F4F" w:rsidP="00A97F4F">
      <w:pPr>
        <w:jc w:val="both"/>
      </w:pPr>
      <w:r w:rsidRPr="00A97F4F">
        <w:t>composta dai signori:</w:t>
      </w:r>
    </w:p>
    <w:p w14:paraId="395A353E" w14:textId="77777777" w:rsidR="00A97F4F" w:rsidRPr="00A97F4F" w:rsidRDefault="00A97F4F" w:rsidP="00A97F4F">
      <w:pPr>
        <w:jc w:val="both"/>
      </w:pPr>
      <w:r w:rsidRPr="00A97F4F">
        <w:t>- Franco                     BILE                                                                Presidente</w:t>
      </w:r>
    </w:p>
    <w:p w14:paraId="54B950FB" w14:textId="77777777" w:rsidR="00A97F4F" w:rsidRPr="00A97F4F" w:rsidRDefault="00A97F4F" w:rsidP="00A97F4F">
      <w:pPr>
        <w:jc w:val="both"/>
      </w:pPr>
      <w:r w:rsidRPr="00A97F4F">
        <w:t>- Giovanni Maria        FLICK                                                              Giudice</w:t>
      </w:r>
    </w:p>
    <w:p w14:paraId="646495A2" w14:textId="77777777" w:rsidR="00A97F4F" w:rsidRPr="00A97F4F" w:rsidRDefault="00A97F4F" w:rsidP="00A97F4F">
      <w:pPr>
        <w:jc w:val="both"/>
      </w:pPr>
      <w:r w:rsidRPr="00A97F4F">
        <w:t>- Francesco                AMIRANTE                                                         </w:t>
      </w:r>
      <w:proofErr w:type="gramStart"/>
      <w:r w:rsidRPr="00A97F4F">
        <w:t>  ”</w:t>
      </w:r>
      <w:proofErr w:type="gramEnd"/>
    </w:p>
    <w:p w14:paraId="01CD49A3" w14:textId="77777777" w:rsidR="00A97F4F" w:rsidRPr="00A97F4F" w:rsidRDefault="00A97F4F" w:rsidP="00A97F4F">
      <w:pPr>
        <w:jc w:val="both"/>
      </w:pPr>
      <w:r w:rsidRPr="00A97F4F">
        <w:t>- Ugo                         DE SIERVO                                                           ”</w:t>
      </w:r>
    </w:p>
    <w:p w14:paraId="3B8EA744" w14:textId="77777777" w:rsidR="00A97F4F" w:rsidRPr="00A97F4F" w:rsidRDefault="00A97F4F" w:rsidP="00A97F4F">
      <w:pPr>
        <w:jc w:val="both"/>
      </w:pPr>
      <w:r w:rsidRPr="00A97F4F">
        <w:t>- Romano                   VACCARELLA                                                     ”</w:t>
      </w:r>
    </w:p>
    <w:p w14:paraId="6AB3A642" w14:textId="77777777" w:rsidR="00A97F4F" w:rsidRPr="00A97F4F" w:rsidRDefault="00A97F4F" w:rsidP="00A97F4F">
      <w:pPr>
        <w:jc w:val="both"/>
      </w:pPr>
      <w:r w:rsidRPr="00A97F4F">
        <w:t>- Paolo                       MADDALENA                                                      ”</w:t>
      </w:r>
    </w:p>
    <w:p w14:paraId="08FE188F" w14:textId="77777777" w:rsidR="00A97F4F" w:rsidRPr="00A97F4F" w:rsidRDefault="00A97F4F" w:rsidP="00A97F4F">
      <w:pPr>
        <w:jc w:val="both"/>
      </w:pPr>
      <w:r w:rsidRPr="00A97F4F">
        <w:t>- Alfio                        FINOCCHIARO                                                    ”</w:t>
      </w:r>
    </w:p>
    <w:p w14:paraId="1700CC9D" w14:textId="77777777" w:rsidR="00A97F4F" w:rsidRPr="00A97F4F" w:rsidRDefault="00A97F4F" w:rsidP="00A97F4F">
      <w:pPr>
        <w:jc w:val="both"/>
      </w:pPr>
      <w:r w:rsidRPr="00A97F4F">
        <w:t>- Alfonso                    QUARANTA                                                         ”</w:t>
      </w:r>
    </w:p>
    <w:p w14:paraId="14B67263" w14:textId="77777777" w:rsidR="00A97F4F" w:rsidRPr="00A97F4F" w:rsidRDefault="00A97F4F" w:rsidP="00A97F4F">
      <w:pPr>
        <w:jc w:val="both"/>
      </w:pPr>
      <w:r w:rsidRPr="00A97F4F">
        <w:t>- Franco                     GALLO                                                                  ”</w:t>
      </w:r>
    </w:p>
    <w:p w14:paraId="364F0127" w14:textId="77777777" w:rsidR="00A97F4F" w:rsidRPr="00A97F4F" w:rsidRDefault="00A97F4F" w:rsidP="00A97F4F">
      <w:pPr>
        <w:jc w:val="both"/>
      </w:pPr>
      <w:r w:rsidRPr="00A97F4F">
        <w:t>- Luigi                        MAZZELLA                                                           ”</w:t>
      </w:r>
    </w:p>
    <w:p w14:paraId="0FEC100F" w14:textId="77777777" w:rsidR="00A97F4F" w:rsidRPr="00A97F4F" w:rsidRDefault="00A97F4F" w:rsidP="00A97F4F">
      <w:pPr>
        <w:jc w:val="both"/>
      </w:pPr>
      <w:r w:rsidRPr="00A97F4F">
        <w:t>- Gaetano                   SILVESTRI                                                            ”</w:t>
      </w:r>
    </w:p>
    <w:p w14:paraId="6E30CF96" w14:textId="77777777" w:rsidR="00A97F4F" w:rsidRPr="00A97F4F" w:rsidRDefault="00A97F4F" w:rsidP="00A97F4F">
      <w:pPr>
        <w:jc w:val="both"/>
      </w:pPr>
      <w:r w:rsidRPr="00A97F4F">
        <w:t>- Sabino                     CASSESE                                                              ”</w:t>
      </w:r>
    </w:p>
    <w:p w14:paraId="619899E9" w14:textId="77777777" w:rsidR="00A97F4F" w:rsidRPr="00A97F4F" w:rsidRDefault="00A97F4F" w:rsidP="00A97F4F">
      <w:pPr>
        <w:jc w:val="both"/>
      </w:pPr>
      <w:r w:rsidRPr="00A97F4F">
        <w:t>- Maria Rita                SAULLE                                                                ”</w:t>
      </w:r>
    </w:p>
    <w:p w14:paraId="3655798E" w14:textId="77777777" w:rsidR="00A97F4F" w:rsidRPr="00A97F4F" w:rsidRDefault="00A97F4F" w:rsidP="00A97F4F">
      <w:pPr>
        <w:jc w:val="both"/>
      </w:pPr>
      <w:r w:rsidRPr="00A97F4F">
        <w:t>- Giuseppe                 TESAURO                                                             ”</w:t>
      </w:r>
    </w:p>
    <w:p w14:paraId="0825045F" w14:textId="77777777" w:rsidR="00A97F4F" w:rsidRPr="00A97F4F" w:rsidRDefault="00A97F4F" w:rsidP="00A97F4F">
      <w:pPr>
        <w:jc w:val="both"/>
      </w:pPr>
      <w:r w:rsidRPr="00A97F4F">
        <w:t>ha pronunciato la seguente</w:t>
      </w:r>
    </w:p>
    <w:p w14:paraId="0F256471" w14:textId="77777777" w:rsidR="00A97F4F" w:rsidRPr="00A97F4F" w:rsidRDefault="00A97F4F" w:rsidP="00A97F4F">
      <w:pPr>
        <w:jc w:val="both"/>
      </w:pPr>
      <w:r w:rsidRPr="00A97F4F">
        <w:t>SENTENZA</w:t>
      </w:r>
    </w:p>
    <w:p w14:paraId="6208241C" w14:textId="29AF4A47" w:rsidR="00A97F4F" w:rsidRDefault="00A97F4F" w:rsidP="00A97F4F">
      <w:pPr>
        <w:jc w:val="both"/>
      </w:pPr>
      <w:r>
        <w:t>[…]</w:t>
      </w:r>
    </w:p>
    <w:p w14:paraId="2C565CA6" w14:textId="36DD4761" w:rsidR="00A97F4F" w:rsidRPr="00A97F4F" w:rsidRDefault="00A97F4F" w:rsidP="00A97F4F">
      <w:pPr>
        <w:jc w:val="both"/>
      </w:pPr>
      <w:r w:rsidRPr="00A97F4F">
        <w:t>Considerato in diritto</w:t>
      </w:r>
    </w:p>
    <w:p w14:paraId="082D1AFC" w14:textId="77777777" w:rsidR="00A97F4F" w:rsidRPr="00A97F4F" w:rsidRDefault="00A97F4F" w:rsidP="00A97F4F">
      <w:pPr>
        <w:jc w:val="both"/>
        <w:rPr>
          <w:b/>
          <w:bCs/>
        </w:rPr>
      </w:pPr>
      <w:r w:rsidRPr="00A97F4F">
        <w:rPr>
          <w:b/>
          <w:bCs/>
        </w:rPr>
        <w:t>1. – Con ricorso notificato il 4 novembre 2004 e depositato il successivo 10 novembre 2004, il Presidente del Consiglio dei ministri, rappresentato e difeso dall’Avvocatura dello Stato, ha promosso questione di legittimità costituzionale degli artt. 2, comma 3; 45, comma 3; 46, comma 2; 47, comma 2; 79, comma 2 in relazione al comma 1, lettera </w:t>
      </w:r>
      <w:r w:rsidRPr="00A97F4F">
        <w:rPr>
          <w:b/>
          <w:bCs/>
          <w:i/>
          <w:iCs/>
        </w:rPr>
        <w:t>c</w:t>
      </w:r>
      <w:r w:rsidRPr="00A97F4F">
        <w:rPr>
          <w:b/>
          <w:bCs/>
        </w:rPr>
        <w:t xml:space="preserve">); 86, comma 3 in relazione ai commi 1, 2 e 4, dello </w:t>
      </w:r>
      <w:r w:rsidRPr="00A97F4F">
        <w:rPr>
          <w:b/>
          <w:bCs/>
          <w:color w:val="EE0000"/>
        </w:rPr>
        <w:t>statuto della Regione Abruzzo</w:t>
      </w:r>
      <w:r w:rsidRPr="00A97F4F">
        <w:rPr>
          <w:b/>
          <w:bCs/>
        </w:rPr>
        <w:t>, approvato in prima deliberazione il 20 luglio 2004 ed in seconda deliberazione il 21 settembre 2004, pubblicato nel </w:t>
      </w:r>
      <w:r w:rsidRPr="00A97F4F">
        <w:rPr>
          <w:b/>
          <w:bCs/>
          <w:i/>
          <w:iCs/>
        </w:rPr>
        <w:t>Bollettino Ufficiale </w:t>
      </w:r>
      <w:r w:rsidRPr="00A97F4F">
        <w:rPr>
          <w:b/>
          <w:bCs/>
        </w:rPr>
        <w:t>della Regione n. 101 dell’8 ottobre 2004, in riferimento agli artt. 1, 3, 117, quinto comma, 121, 122, 123, 126 e 134 della Costituzione.</w:t>
      </w:r>
    </w:p>
    <w:p w14:paraId="4570DE62" w14:textId="111ACF61" w:rsidR="00A97F4F" w:rsidRPr="00A97F4F" w:rsidRDefault="00A97F4F" w:rsidP="00A97F4F">
      <w:pPr>
        <w:jc w:val="both"/>
      </w:pPr>
      <w:r>
        <w:lastRenderedPageBreak/>
        <w:t>[…]</w:t>
      </w:r>
    </w:p>
    <w:p w14:paraId="28B0A3B6" w14:textId="77777777" w:rsidR="00A97F4F" w:rsidRPr="00A97F4F" w:rsidRDefault="00A97F4F" w:rsidP="00A97F4F">
      <w:pPr>
        <w:jc w:val="both"/>
        <w:rPr>
          <w:b/>
          <w:bCs/>
        </w:rPr>
      </w:pPr>
      <w:r w:rsidRPr="00A97F4F">
        <w:rPr>
          <w:b/>
          <w:bCs/>
        </w:rPr>
        <w:t>4. – La seconda censura di illegittimità avanzata dal Presidente del Consiglio dei ministri riguarda l’art. 45, comma 3, del citato statuto, il quale dispone che «</w:t>
      </w:r>
      <w:r w:rsidRPr="00A97F4F">
        <w:rPr>
          <w:b/>
          <w:bCs/>
          <w:u w:val="single"/>
        </w:rPr>
        <w:t>Il Presidente della Giunta nel caso in cui il Consiglio sfiduci uno o più assessori provvede alla loro sostituzione</w:t>
      </w:r>
      <w:r w:rsidRPr="00A97F4F">
        <w:rPr>
          <w:b/>
          <w:bCs/>
        </w:rPr>
        <w:t>». Secondo la difesa erariale, tale norma, vin</w:t>
      </w:r>
      <w:r w:rsidRPr="00A97F4F">
        <w:rPr>
          <w:b/>
          <w:bCs/>
          <w:u w:val="single"/>
        </w:rPr>
        <w:t>colando il Presidente della Giunta ad adeguarsi alla volontà espressa dal Consiglio, risulterebbe incoerente con la scelta istituzionale della elezione a suffragio universale e diretto</w:t>
      </w:r>
      <w:r w:rsidRPr="00A97F4F">
        <w:rPr>
          <w:b/>
          <w:bCs/>
        </w:rPr>
        <w:t xml:space="preserve"> del vertice dell’esecutivo, sancita dall’art. 43, comma 2, del medesimo statuto. Poiché l’art. 122, quinto comma, Cost. attribuisce al Presidente della Giunta eletto a suffragio universale e diretto </w:t>
      </w:r>
      <w:r w:rsidRPr="00A97F4F">
        <w:rPr>
          <w:b/>
          <w:bCs/>
          <w:u w:val="single"/>
        </w:rPr>
        <w:t>il potere di nomina e revoca</w:t>
      </w:r>
      <w:r w:rsidRPr="00A97F4F">
        <w:rPr>
          <w:b/>
          <w:bCs/>
        </w:rPr>
        <w:t xml:space="preserve"> dei componenti della Giunta stessa, la norma statutaria impugnata limiterebbe in modo illegittimo tale potere.</w:t>
      </w:r>
    </w:p>
    <w:p w14:paraId="1B853A1D" w14:textId="77777777" w:rsidR="00A97F4F" w:rsidRPr="00A97F4F" w:rsidRDefault="00A97F4F" w:rsidP="00A97F4F">
      <w:pPr>
        <w:jc w:val="both"/>
        <w:rPr>
          <w:b/>
          <w:bCs/>
        </w:rPr>
      </w:pPr>
      <w:r w:rsidRPr="00A97F4F">
        <w:rPr>
          <w:b/>
          <w:bCs/>
        </w:rPr>
        <w:t>La questione è fondata.</w:t>
      </w:r>
    </w:p>
    <w:p w14:paraId="61131877" w14:textId="4C926BD1" w:rsidR="00A97F4F" w:rsidRPr="00A97F4F" w:rsidRDefault="00A97F4F" w:rsidP="00A97F4F">
      <w:pPr>
        <w:jc w:val="both"/>
        <w:rPr>
          <w:b/>
          <w:bCs/>
        </w:rPr>
      </w:pPr>
      <w:r w:rsidRPr="00A97F4F">
        <w:rPr>
          <w:b/>
          <w:bCs/>
        </w:rPr>
        <w:t xml:space="preserve">Il quinto comma dell’art. 122 Cost. ha una struttura, lessicale e logica, semplice. Con il primo inciso viene attribuita alle Regioni la facoltà di prevedere nei propri statuti modi di elezione del Presidente diversi dal suffragio universale e diretto. Con il secondo inciso viene fissata una conseguenza necessaria dell’opzione in favore dell’elezione a suffragio universale e diretto, nel senso che </w:t>
      </w:r>
      <w:r w:rsidRPr="00C90225">
        <w:rPr>
          <w:b/>
          <w:bCs/>
          <w:color w:val="EE0000"/>
          <w:u w:val="single"/>
        </w:rPr>
        <w:t>il Presidente «eletto» nomina e revoca di sua iniziativa gli assessori</w:t>
      </w:r>
      <w:r w:rsidRPr="00A97F4F">
        <w:rPr>
          <w:b/>
          <w:bCs/>
        </w:rPr>
        <w:t xml:space="preserve">. Non sembrano possibili altre interpretazioni di tale disposizione costituzionale, giacché la parola «eletto» non potrebbe riferirsi a qualsiasi tipo di elezione, con la conseguenza eccessiva che anche in caso di opzione per una forma di governo diversa da parte del singolo statuto regionale il Presidente conservasse il potere di nominare e revocare, in piena autonomia, i componenti della Giunta. Peraltro </w:t>
      </w:r>
      <w:r w:rsidRPr="00A97F4F">
        <w:rPr>
          <w:b/>
          <w:bCs/>
          <w:u w:val="single"/>
        </w:rPr>
        <w:t>non si capirebbe l’inserimento dell’aggettivo «eletto»</w:t>
      </w:r>
      <w:r w:rsidRPr="00A97F4F">
        <w:rPr>
          <w:b/>
          <w:bCs/>
        </w:rPr>
        <w:t>, giacché sarebbe stato sufficiente, in caso di previsione generalizzata e generalizzabile, riferirsi, puramente e semplicemente, al Presidente della Giunta.</w:t>
      </w:r>
      <w:r>
        <w:rPr>
          <w:b/>
          <w:bCs/>
        </w:rPr>
        <w:t xml:space="preserve"> </w:t>
      </w:r>
    </w:p>
    <w:p w14:paraId="349E7455" w14:textId="77777777" w:rsidR="00A97F4F" w:rsidRPr="00A97F4F" w:rsidRDefault="00A97F4F" w:rsidP="00A97F4F">
      <w:pPr>
        <w:jc w:val="both"/>
        <w:rPr>
          <w:b/>
          <w:bCs/>
        </w:rPr>
      </w:pPr>
      <w:r w:rsidRPr="00A97F4F">
        <w:rPr>
          <w:b/>
          <w:bCs/>
        </w:rPr>
        <w:t xml:space="preserve">La presenza del citato aggettivo indica un potere consequenziale e indefettibile proprio del Presidente individuato mediante voto popolare. </w:t>
      </w:r>
      <w:r w:rsidRPr="00C90225">
        <w:rPr>
          <w:b/>
          <w:bCs/>
          <w:color w:val="EE0000"/>
        </w:rPr>
        <w:t xml:space="preserve">Il corpo elettorale investe contemporaneamente </w:t>
      </w:r>
      <w:r w:rsidRPr="00C90225">
        <w:rPr>
          <w:b/>
          <w:bCs/>
          <w:color w:val="EE0000"/>
          <w:u w:val="single"/>
        </w:rPr>
        <w:t xml:space="preserve">il Presidente del potere esecutivo </w:t>
      </w:r>
      <w:r w:rsidRPr="00C90225">
        <w:rPr>
          <w:b/>
          <w:bCs/>
          <w:color w:val="EE0000"/>
        </w:rPr>
        <w:t xml:space="preserve">ed </w:t>
      </w:r>
      <w:r w:rsidRPr="00C90225">
        <w:rPr>
          <w:b/>
          <w:bCs/>
          <w:color w:val="EE0000"/>
          <w:u w:val="single"/>
        </w:rPr>
        <w:t xml:space="preserve">il Consiglio del potere </w:t>
      </w:r>
      <w:r w:rsidRPr="00A97F4F">
        <w:rPr>
          <w:b/>
          <w:bCs/>
        </w:rPr>
        <w:t>legislativo e di controllo nei confronti del Presidente e della Giunta, sul presupposto dell’armonia dell’indirizzo politico presuntivamente garantita dalla simultanea elezione di entrambi nella medesima tornata elettorale e dai medesimi elettori.</w:t>
      </w:r>
    </w:p>
    <w:p w14:paraId="3DE1B852" w14:textId="77777777" w:rsidR="00A97F4F" w:rsidRPr="00A97F4F" w:rsidRDefault="00A97F4F" w:rsidP="00A97F4F">
      <w:pPr>
        <w:jc w:val="both"/>
        <w:rPr>
          <w:b/>
          <w:bCs/>
        </w:rPr>
      </w:pPr>
      <w:r w:rsidRPr="00A97F4F">
        <w:rPr>
          <w:b/>
          <w:bCs/>
        </w:rPr>
        <w:t>Il principio funzionale largamente noto con l’espressione </w:t>
      </w:r>
      <w:r w:rsidRPr="00A97F4F">
        <w:rPr>
          <w:b/>
          <w:bCs/>
          <w:i/>
          <w:iCs/>
        </w:rPr>
        <w:t xml:space="preserve">aut </w:t>
      </w:r>
      <w:proofErr w:type="spellStart"/>
      <w:r w:rsidRPr="00A97F4F">
        <w:rPr>
          <w:b/>
          <w:bCs/>
          <w:i/>
          <w:iCs/>
        </w:rPr>
        <w:t>simul</w:t>
      </w:r>
      <w:proofErr w:type="spellEnd"/>
      <w:r w:rsidRPr="00A97F4F">
        <w:rPr>
          <w:b/>
          <w:bCs/>
          <w:i/>
          <w:iCs/>
        </w:rPr>
        <w:t xml:space="preserve"> </w:t>
      </w:r>
      <w:proofErr w:type="spellStart"/>
      <w:r w:rsidRPr="00A97F4F">
        <w:rPr>
          <w:b/>
          <w:bCs/>
          <w:i/>
          <w:iCs/>
        </w:rPr>
        <w:t>stabunt</w:t>
      </w:r>
      <w:proofErr w:type="spellEnd"/>
      <w:r w:rsidRPr="00A97F4F">
        <w:rPr>
          <w:b/>
          <w:bCs/>
          <w:i/>
          <w:iCs/>
        </w:rPr>
        <w:t xml:space="preserve"> aut </w:t>
      </w:r>
      <w:proofErr w:type="spellStart"/>
      <w:r w:rsidRPr="00A97F4F">
        <w:rPr>
          <w:b/>
          <w:bCs/>
          <w:i/>
          <w:iCs/>
        </w:rPr>
        <w:t>simul</w:t>
      </w:r>
      <w:proofErr w:type="spellEnd"/>
      <w:r w:rsidRPr="00A97F4F">
        <w:rPr>
          <w:b/>
          <w:bCs/>
          <w:i/>
          <w:iCs/>
        </w:rPr>
        <w:t xml:space="preserve"> </w:t>
      </w:r>
      <w:proofErr w:type="spellStart"/>
      <w:r w:rsidRPr="00A97F4F">
        <w:rPr>
          <w:b/>
          <w:bCs/>
          <w:i/>
          <w:iCs/>
        </w:rPr>
        <w:t>cadent</w:t>
      </w:r>
      <w:proofErr w:type="spellEnd"/>
      <w:r w:rsidRPr="00A97F4F">
        <w:rPr>
          <w:b/>
          <w:bCs/>
        </w:rPr>
        <w:t xml:space="preserve"> esclude che </w:t>
      </w:r>
      <w:r w:rsidRPr="00A97F4F">
        <w:rPr>
          <w:b/>
          <w:bCs/>
          <w:u w:val="single"/>
        </w:rPr>
        <w:t>possano essere introdotti circuiti fiduciari collaterali ed accessori</w:t>
      </w:r>
      <w:r w:rsidRPr="00A97F4F">
        <w:rPr>
          <w:b/>
          <w:bCs/>
        </w:rPr>
        <w:t xml:space="preserve"> rispetto alla presuntiva unità di indirizzo politico derivante dalla contemporanea investitura popolare di Presidente e Consiglio</w:t>
      </w:r>
      <w:r w:rsidRPr="00A97F4F">
        <w:t xml:space="preserve">. </w:t>
      </w:r>
      <w:r w:rsidRPr="00A97F4F">
        <w:rPr>
          <w:b/>
          <w:bCs/>
        </w:rPr>
        <w:t xml:space="preserve">L’approvazione di una mozione di sfiducia da parte del secondo o le dimissioni del primo fanno venir meno la presunzione di consonanza politica derivante dalla consultazione elettorale </w:t>
      </w:r>
      <w:r w:rsidRPr="00A97F4F">
        <w:rPr>
          <w:b/>
          <w:bCs/>
          <w:u w:val="single"/>
        </w:rPr>
        <w:t>e rendono necessario, in modo coerente, un nuovo appello al popolo</w:t>
      </w:r>
      <w:r w:rsidRPr="00A97F4F">
        <w:rPr>
          <w:b/>
          <w:bCs/>
        </w:rPr>
        <w:t>, al quale si chiede di restaurare il presupposto fondamentale della omogeneità di indirizzo politico che deve caratterizzare i programmi e le attività sia del Presidente che del Consiglio.</w:t>
      </w:r>
    </w:p>
    <w:p w14:paraId="1768FAA8" w14:textId="77777777" w:rsidR="00A97F4F" w:rsidRPr="00A97F4F" w:rsidRDefault="00A97F4F" w:rsidP="00A97F4F">
      <w:pPr>
        <w:jc w:val="both"/>
        <w:rPr>
          <w:b/>
          <w:bCs/>
        </w:rPr>
      </w:pPr>
      <w:r w:rsidRPr="00A97F4F">
        <w:rPr>
          <w:b/>
          <w:bCs/>
          <w:color w:val="EE0000"/>
        </w:rPr>
        <w:t>Nel quadro prima delineato non trova posto la rottura di un ipotetico rapporto fiduciario tra Consiglio e singoli assessori</w:t>
      </w:r>
      <w:r w:rsidRPr="00A97F4F">
        <w:rPr>
          <w:b/>
          <w:bCs/>
        </w:rPr>
        <w:t xml:space="preserve">, che si risolverebbe esclusivamente in una pura e semplice riduzione dei poteri spettanti al Presidente, investito della carica dal corpo elettorale proprio per il suo essere ed agire quale unico soggetto esponenziale del potere esecutivo nell’ambito della Regione, munito di poteri che lo rendono interamente responsabile, sul piano politico, dell’operato di tutti i componenti della Giunta. L’equilibrio tra poteri configurato nel modello disegnato dalla Costituzione </w:t>
      </w:r>
      <w:r w:rsidRPr="00A97F4F">
        <w:rPr>
          <w:b/>
          <w:bCs/>
          <w:u w:val="single"/>
        </w:rPr>
        <w:t>verrebbe alterato se si privasse il Presidente della possibilità di scegliere e revocare discrezionalmente gli assessori della propria Giunta</w:t>
      </w:r>
      <w:r w:rsidRPr="00A97F4F">
        <w:rPr>
          <w:b/>
          <w:bCs/>
        </w:rPr>
        <w:t>, del cui operato deve rispondere al Consiglio ed al corpo elettorale.</w:t>
      </w:r>
    </w:p>
    <w:p w14:paraId="3164C2D8" w14:textId="77777777" w:rsidR="00A97F4F" w:rsidRPr="00A97F4F" w:rsidRDefault="00A97F4F" w:rsidP="00A97F4F">
      <w:pPr>
        <w:jc w:val="both"/>
        <w:rPr>
          <w:b/>
          <w:bCs/>
        </w:rPr>
      </w:pPr>
      <w:r w:rsidRPr="00A97F4F">
        <w:rPr>
          <w:b/>
          <w:bCs/>
        </w:rPr>
        <w:lastRenderedPageBreak/>
        <w:t xml:space="preserve">Questa Corte ha chiarito che </w:t>
      </w:r>
      <w:r w:rsidRPr="00D3210D">
        <w:rPr>
          <w:b/>
          <w:bCs/>
          <w:color w:val="EE0000"/>
          <w:u w:val="single"/>
        </w:rPr>
        <w:t>l’ammissibilità della mozione di sfiducia individuale al singolo ministro va inquadrata nella forma di governo parlamentare</w:t>
      </w:r>
      <w:r w:rsidRPr="00A97F4F">
        <w:rPr>
          <w:b/>
          <w:bCs/>
        </w:rPr>
        <w:t>, che caratterizza la relazione tra Parlamento e Governo, consistente in un’articolazione di rapporti che fa perno sulla responsabilità collegiale del Governo e sulla responsabilità individuale dei ministri, entrambe esplicitamente contemplate nell’art. 95, secondo comma, Cost. (</w:t>
      </w:r>
      <w:hyperlink r:id="rId4" w:history="1">
        <w:r w:rsidRPr="00A97F4F">
          <w:rPr>
            <w:rStyle w:val="Collegamentoipertestuale"/>
            <w:b/>
            <w:bCs/>
          </w:rPr>
          <w:t>sentenza n. 7 del 1996</w:t>
        </w:r>
      </w:hyperlink>
      <w:r w:rsidRPr="00A97F4F">
        <w:rPr>
          <w:b/>
          <w:bCs/>
        </w:rPr>
        <w:t>). Da questo presupposto discende che la diversa forma di governo prevista dalla Costituzione per le Regioni e sinteticamente designata con le parole «Presidente eletto a suffragio universale e diretto» appare «</w:t>
      </w:r>
      <w:r w:rsidRPr="00A97F4F">
        <w:rPr>
          <w:b/>
          <w:bCs/>
          <w:u w:val="single"/>
        </w:rPr>
        <w:t>caratterizzata dall’attribuzione ad esso di forti e tipici poteri per la gestione unitaria dell’indirizzo politico e amministrativo della Regione</w:t>
      </w:r>
      <w:r w:rsidRPr="00A97F4F">
        <w:rPr>
          <w:b/>
          <w:bCs/>
        </w:rPr>
        <w:t xml:space="preserve"> (nomina e revoca dei componenti della Giunta, potere di dimettersi facendo automaticamente sciogliere sia la Giunta che il Consiglio regionale)» (</w:t>
      </w:r>
      <w:hyperlink r:id="rId5" w:history="1">
        <w:r w:rsidRPr="00A97F4F">
          <w:rPr>
            <w:rStyle w:val="Collegamentoipertestuale"/>
            <w:b/>
            <w:bCs/>
          </w:rPr>
          <w:t>sentenza n. 2 del 2004</w:t>
        </w:r>
      </w:hyperlink>
      <w:r w:rsidRPr="00A97F4F">
        <w:rPr>
          <w:b/>
          <w:bCs/>
        </w:rPr>
        <w:t>).</w:t>
      </w:r>
    </w:p>
    <w:p w14:paraId="01939AB6" w14:textId="77777777" w:rsidR="00A97F4F" w:rsidRPr="00A97F4F" w:rsidRDefault="00A97F4F" w:rsidP="00A97F4F">
      <w:pPr>
        <w:jc w:val="both"/>
      </w:pPr>
      <w:r w:rsidRPr="00A97F4F">
        <w:rPr>
          <w:b/>
          <w:bCs/>
        </w:rPr>
        <w:t xml:space="preserve">Una volta scelta la forma di governo, caratterizzata dall’elezione a suffragio universale e diretto del Presidente, nei confronti del Consiglio esiste solo la responsabilità politica del Presidente stesso, nella cui figura istituzionale confluiscono la responsabilità collegiale della Giunta e la responsabilità individuale dei singoli assessori. </w:t>
      </w:r>
      <w:r w:rsidRPr="00A97F4F">
        <w:rPr>
          <w:b/>
          <w:bCs/>
          <w:u w:val="single"/>
        </w:rPr>
        <w:t>La sfiducia individuale agli assessori si pone, di conseguenza, in contrasto con l’art. 122, quinto comma, Cost.,</w:t>
      </w:r>
      <w:r w:rsidRPr="00A97F4F">
        <w:rPr>
          <w:b/>
          <w:bCs/>
        </w:rPr>
        <w:t xml:space="preserve"> in cui si riflettono i principî ispiratori dell’equilibrio costituzionale tra i supremi organi regionali derivante dall’investitura popolare del Presidente</w:t>
      </w:r>
      <w:r w:rsidRPr="00A97F4F">
        <w:t>.</w:t>
      </w:r>
    </w:p>
    <w:p w14:paraId="3D45414C" w14:textId="7EB44A11" w:rsidR="00A97F4F" w:rsidRDefault="00A97F4F" w:rsidP="00887B93">
      <w:pPr>
        <w:jc w:val="both"/>
      </w:pPr>
    </w:p>
    <w:p w14:paraId="0C1DC0F4" w14:textId="54A4DAA6" w:rsidR="00887B93" w:rsidRDefault="00887B93" w:rsidP="00887B93">
      <w:pPr>
        <w:jc w:val="both"/>
      </w:pPr>
      <w:r>
        <w:t>[…]</w:t>
      </w:r>
    </w:p>
    <w:p w14:paraId="3128A0F9" w14:textId="77777777" w:rsidR="00887B93" w:rsidRPr="00A97F4F" w:rsidRDefault="00887B93" w:rsidP="00887B93">
      <w:pPr>
        <w:jc w:val="both"/>
      </w:pPr>
    </w:p>
    <w:p w14:paraId="24E6D79A" w14:textId="77777777" w:rsidR="00A97F4F" w:rsidRPr="00A97F4F" w:rsidRDefault="00A97F4F" w:rsidP="00A97F4F">
      <w:pPr>
        <w:jc w:val="both"/>
      </w:pPr>
      <w:r w:rsidRPr="00A97F4F">
        <w:t>per questi motivi</w:t>
      </w:r>
    </w:p>
    <w:p w14:paraId="46EA045D" w14:textId="77777777" w:rsidR="00A97F4F" w:rsidRPr="00A97F4F" w:rsidRDefault="00A97F4F" w:rsidP="00A97F4F">
      <w:pPr>
        <w:jc w:val="both"/>
      </w:pPr>
      <w:r w:rsidRPr="00A97F4F">
        <w:t>LA CORTE COSTITUZIONALE</w:t>
      </w:r>
    </w:p>
    <w:p w14:paraId="1AB64053" w14:textId="77777777" w:rsidR="00A97F4F" w:rsidRPr="00A97F4F" w:rsidRDefault="00A97F4F" w:rsidP="00A97F4F">
      <w:pPr>
        <w:jc w:val="both"/>
      </w:pPr>
      <w:r w:rsidRPr="00A97F4F">
        <w:t>1) </w:t>
      </w:r>
      <w:r w:rsidRPr="00A97F4F">
        <w:rPr>
          <w:i/>
          <w:iCs/>
        </w:rPr>
        <w:t>dichiara</w:t>
      </w:r>
      <w:r w:rsidRPr="00A97F4F">
        <w:t> inammissibile la costituzione in giudizio della Regione Abruzzo;</w:t>
      </w:r>
    </w:p>
    <w:p w14:paraId="5CCE7024" w14:textId="77777777" w:rsidR="00A97F4F" w:rsidRPr="00A97F4F" w:rsidRDefault="00A97F4F" w:rsidP="00A97F4F">
      <w:pPr>
        <w:jc w:val="both"/>
      </w:pPr>
      <w:r w:rsidRPr="00A97F4F">
        <w:t>2) </w:t>
      </w:r>
      <w:r w:rsidRPr="00A97F4F">
        <w:rPr>
          <w:i/>
          <w:iCs/>
        </w:rPr>
        <w:t>dichiara</w:t>
      </w:r>
      <w:r w:rsidRPr="00A97F4F">
        <w:t> l’illegittimità costituzionale dell’art. 45, comma 3, dello statuto della Regione Abruzzo, approvato in prima deliberazione il 20 luglio 2004 ed in seconda deliberazione il 21 settembre 2004, pubblicato nel </w:t>
      </w:r>
      <w:r w:rsidRPr="00A97F4F">
        <w:rPr>
          <w:i/>
          <w:iCs/>
        </w:rPr>
        <w:t>Bollettino Ufficiale </w:t>
      </w:r>
      <w:r w:rsidRPr="00A97F4F">
        <w:t>della Regione n. 101 dell’8 ottobre 2004;</w:t>
      </w:r>
    </w:p>
    <w:p w14:paraId="76B0F38F" w14:textId="77777777" w:rsidR="00A97F4F" w:rsidRPr="00A97F4F" w:rsidRDefault="00A97F4F" w:rsidP="00A97F4F">
      <w:pPr>
        <w:jc w:val="both"/>
      </w:pPr>
      <w:r w:rsidRPr="00A97F4F">
        <w:t>3) </w:t>
      </w:r>
      <w:r w:rsidRPr="00A97F4F">
        <w:rPr>
          <w:i/>
          <w:iCs/>
        </w:rPr>
        <w:t>dichiara</w:t>
      </w:r>
      <w:r w:rsidRPr="00A97F4F">
        <w:t> l’illegittimità costituzionale dell’art. 46, comma 2, del citato statuto;</w:t>
      </w:r>
    </w:p>
    <w:p w14:paraId="7D7CB705" w14:textId="77777777" w:rsidR="00A97F4F" w:rsidRPr="00A97F4F" w:rsidRDefault="00A97F4F" w:rsidP="00A97F4F">
      <w:pPr>
        <w:jc w:val="both"/>
      </w:pPr>
      <w:r w:rsidRPr="00A97F4F">
        <w:t>4) </w:t>
      </w:r>
      <w:r w:rsidRPr="00A97F4F">
        <w:rPr>
          <w:i/>
          <w:iCs/>
        </w:rPr>
        <w:t>dichiara </w:t>
      </w:r>
      <w:r w:rsidRPr="00A97F4F">
        <w:t>l’illegittimità costituzionale dell’art. 47, comma 2, del citato statuto;</w:t>
      </w:r>
    </w:p>
    <w:p w14:paraId="3486479C" w14:textId="77777777" w:rsidR="00A97F4F" w:rsidRPr="00A97F4F" w:rsidRDefault="00A97F4F" w:rsidP="00A97F4F">
      <w:pPr>
        <w:jc w:val="both"/>
      </w:pPr>
      <w:r w:rsidRPr="00A97F4F">
        <w:t>5) </w:t>
      </w:r>
      <w:r w:rsidRPr="00A97F4F">
        <w:rPr>
          <w:i/>
          <w:iCs/>
        </w:rPr>
        <w:t>dichiara </w:t>
      </w:r>
      <w:r w:rsidRPr="00A97F4F">
        <w:t>l’illegittimità costituzionale dell’art. 86, comma 3 in relazione ai commi 1, 2 e 4, del citato statuto;</w:t>
      </w:r>
    </w:p>
    <w:p w14:paraId="1E75EAD7" w14:textId="77777777" w:rsidR="00A97F4F" w:rsidRPr="00A97F4F" w:rsidRDefault="00A97F4F" w:rsidP="00A97F4F">
      <w:pPr>
        <w:jc w:val="both"/>
      </w:pPr>
      <w:r w:rsidRPr="00A97F4F">
        <w:t>6) </w:t>
      </w:r>
      <w:r w:rsidRPr="00A97F4F">
        <w:rPr>
          <w:i/>
          <w:iCs/>
        </w:rPr>
        <w:t>dichiara</w:t>
      </w:r>
      <w:r w:rsidRPr="00A97F4F">
        <w:t>, ai sensi dell’art. 27 della legge 11 marzo 1953 n. 87, l’illegittimità costituzionale in via consequenziale dei commi 1, 2 e 4 dell’art. 86 del citato statuto;</w:t>
      </w:r>
    </w:p>
    <w:p w14:paraId="2CBEF24E" w14:textId="77777777" w:rsidR="00A97F4F" w:rsidRPr="00A97F4F" w:rsidRDefault="00A97F4F" w:rsidP="00A97F4F">
      <w:pPr>
        <w:jc w:val="both"/>
      </w:pPr>
      <w:r w:rsidRPr="00A97F4F">
        <w:t>7) </w:t>
      </w:r>
      <w:r w:rsidRPr="00A97F4F">
        <w:rPr>
          <w:i/>
          <w:iCs/>
        </w:rPr>
        <w:t>dichiara</w:t>
      </w:r>
      <w:r w:rsidRPr="00A97F4F">
        <w:t> non fondata la questione di legittimità costituzionale dell’art. 2, comma 3, del citato statuto, in riferimento all’art. 117, quinto comma, della Costituzione;</w:t>
      </w:r>
    </w:p>
    <w:p w14:paraId="346256A7" w14:textId="77777777" w:rsidR="00A97F4F" w:rsidRPr="00A97F4F" w:rsidRDefault="00A97F4F" w:rsidP="00A97F4F">
      <w:pPr>
        <w:jc w:val="both"/>
      </w:pPr>
      <w:r w:rsidRPr="00A97F4F">
        <w:t>8) </w:t>
      </w:r>
      <w:r w:rsidRPr="00A97F4F">
        <w:rPr>
          <w:i/>
          <w:iCs/>
        </w:rPr>
        <w:t>dichiara </w:t>
      </w:r>
      <w:r w:rsidRPr="00A97F4F">
        <w:t>non fondata la questione di legittimità costituzionale dell’art. 79, comma 2 in relazione al comma 1, lettera </w:t>
      </w:r>
      <w:r w:rsidRPr="00A97F4F">
        <w:rPr>
          <w:i/>
          <w:iCs/>
        </w:rPr>
        <w:t>c</w:t>
      </w:r>
      <w:r w:rsidRPr="00A97F4F">
        <w:t>), in riferimento agli artt. 121, secondo e quarto comma, e 134 della Costituzione.</w:t>
      </w:r>
    </w:p>
    <w:p w14:paraId="3BA326F9" w14:textId="77777777" w:rsidR="00A97F4F" w:rsidRPr="00A97F4F" w:rsidRDefault="00A97F4F" w:rsidP="00A97F4F">
      <w:pPr>
        <w:jc w:val="both"/>
      </w:pPr>
      <w:r w:rsidRPr="00A97F4F">
        <w:t>            Così deciso in Roma, nella sede della Corte costituzionale, Palazzo della Consulta, l'11 gennaio 2006.</w:t>
      </w:r>
    </w:p>
    <w:p w14:paraId="7D1B0448" w14:textId="77777777" w:rsidR="00A97F4F" w:rsidRPr="00A97F4F" w:rsidRDefault="00A97F4F" w:rsidP="00A97F4F">
      <w:pPr>
        <w:jc w:val="both"/>
      </w:pPr>
      <w:r w:rsidRPr="00A97F4F">
        <w:t>Franco BILE, Presidente</w:t>
      </w:r>
    </w:p>
    <w:p w14:paraId="10803898" w14:textId="77777777" w:rsidR="00A97F4F" w:rsidRPr="00A97F4F" w:rsidRDefault="00A97F4F" w:rsidP="00A97F4F">
      <w:pPr>
        <w:jc w:val="both"/>
      </w:pPr>
      <w:r w:rsidRPr="00A97F4F">
        <w:lastRenderedPageBreak/>
        <w:t>Gaetano SILVESTRI, Redattore</w:t>
      </w:r>
    </w:p>
    <w:p w14:paraId="2207CB34" w14:textId="77777777" w:rsidR="00A97F4F" w:rsidRPr="00A97F4F" w:rsidRDefault="00A97F4F" w:rsidP="00A97F4F">
      <w:pPr>
        <w:jc w:val="both"/>
      </w:pPr>
      <w:r w:rsidRPr="00A97F4F">
        <w:t>Depositata in Cancelleria il 20 gennaio 2006.</w:t>
      </w:r>
    </w:p>
    <w:p w14:paraId="3307C8F1" w14:textId="77777777" w:rsidR="00B50B1F" w:rsidRDefault="00B50B1F" w:rsidP="00A97F4F">
      <w:pPr>
        <w:jc w:val="both"/>
      </w:pPr>
    </w:p>
    <w:sectPr w:rsidR="00B50B1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4464"/>
    <w:rsid w:val="00205DB2"/>
    <w:rsid w:val="00887B93"/>
    <w:rsid w:val="009E6B84"/>
    <w:rsid w:val="00A97F4F"/>
    <w:rsid w:val="00B34464"/>
    <w:rsid w:val="00B50B1F"/>
    <w:rsid w:val="00C90225"/>
    <w:rsid w:val="00D3210D"/>
    <w:rsid w:val="00F2614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6460AB"/>
  <w15:chartTrackingRefBased/>
  <w15:docId w15:val="{58B449E8-B95B-4D87-849E-6C21DD381E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B3446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B3446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B34464"/>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B34464"/>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B34464"/>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B34464"/>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B34464"/>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B34464"/>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B34464"/>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34464"/>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B34464"/>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B34464"/>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B34464"/>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B34464"/>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B34464"/>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B34464"/>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B34464"/>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B34464"/>
    <w:rPr>
      <w:rFonts w:eastAsiaTheme="majorEastAsia" w:cstheme="majorBidi"/>
      <w:color w:val="272727" w:themeColor="text1" w:themeTint="D8"/>
    </w:rPr>
  </w:style>
  <w:style w:type="paragraph" w:styleId="Titolo">
    <w:name w:val="Title"/>
    <w:basedOn w:val="Normale"/>
    <w:next w:val="Normale"/>
    <w:link w:val="TitoloCarattere"/>
    <w:uiPriority w:val="10"/>
    <w:qFormat/>
    <w:rsid w:val="00B3446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B34464"/>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B34464"/>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B34464"/>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B34464"/>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B34464"/>
    <w:rPr>
      <w:i/>
      <w:iCs/>
      <w:color w:val="404040" w:themeColor="text1" w:themeTint="BF"/>
    </w:rPr>
  </w:style>
  <w:style w:type="paragraph" w:styleId="Paragrafoelenco">
    <w:name w:val="List Paragraph"/>
    <w:basedOn w:val="Normale"/>
    <w:uiPriority w:val="34"/>
    <w:qFormat/>
    <w:rsid w:val="00B34464"/>
    <w:pPr>
      <w:ind w:left="720"/>
      <w:contextualSpacing/>
    </w:pPr>
  </w:style>
  <w:style w:type="character" w:styleId="Enfasiintensa">
    <w:name w:val="Intense Emphasis"/>
    <w:basedOn w:val="Carpredefinitoparagrafo"/>
    <w:uiPriority w:val="21"/>
    <w:qFormat/>
    <w:rsid w:val="00B34464"/>
    <w:rPr>
      <w:i/>
      <w:iCs/>
      <w:color w:val="0F4761" w:themeColor="accent1" w:themeShade="BF"/>
    </w:rPr>
  </w:style>
  <w:style w:type="paragraph" w:styleId="Citazioneintensa">
    <w:name w:val="Intense Quote"/>
    <w:basedOn w:val="Normale"/>
    <w:next w:val="Normale"/>
    <w:link w:val="CitazioneintensaCarattere"/>
    <w:uiPriority w:val="30"/>
    <w:qFormat/>
    <w:rsid w:val="00B3446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B34464"/>
    <w:rPr>
      <w:i/>
      <w:iCs/>
      <w:color w:val="0F4761" w:themeColor="accent1" w:themeShade="BF"/>
    </w:rPr>
  </w:style>
  <w:style w:type="character" w:styleId="Riferimentointenso">
    <w:name w:val="Intense Reference"/>
    <w:basedOn w:val="Carpredefinitoparagrafo"/>
    <w:uiPriority w:val="32"/>
    <w:qFormat/>
    <w:rsid w:val="00B34464"/>
    <w:rPr>
      <w:b/>
      <w:bCs/>
      <w:smallCaps/>
      <w:color w:val="0F4761" w:themeColor="accent1" w:themeShade="BF"/>
      <w:spacing w:val="5"/>
    </w:rPr>
  </w:style>
  <w:style w:type="character" w:styleId="Collegamentoipertestuale">
    <w:name w:val="Hyperlink"/>
    <w:basedOn w:val="Carpredefinitoparagrafo"/>
    <w:uiPriority w:val="99"/>
    <w:unhideWhenUsed/>
    <w:rsid w:val="00A97F4F"/>
    <w:rPr>
      <w:color w:val="467886" w:themeColor="hyperlink"/>
      <w:u w:val="single"/>
    </w:rPr>
  </w:style>
  <w:style w:type="character" w:styleId="Menzionenonrisolta">
    <w:name w:val="Unresolved Mention"/>
    <w:basedOn w:val="Carpredefinitoparagrafo"/>
    <w:uiPriority w:val="99"/>
    <w:semiHidden/>
    <w:unhideWhenUsed/>
    <w:rsid w:val="00A97F4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1843183">
      <w:bodyDiv w:val="1"/>
      <w:marLeft w:val="0"/>
      <w:marRight w:val="0"/>
      <w:marTop w:val="0"/>
      <w:marBottom w:val="0"/>
      <w:divBdr>
        <w:top w:val="none" w:sz="0" w:space="0" w:color="auto"/>
        <w:left w:val="none" w:sz="0" w:space="0" w:color="auto"/>
        <w:bottom w:val="none" w:sz="0" w:space="0" w:color="auto"/>
        <w:right w:val="none" w:sz="0" w:space="0" w:color="auto"/>
      </w:divBdr>
    </w:div>
    <w:div w:id="907306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giurcost.org/decisioni/2004/0002s-04.html" TargetMode="External"/><Relationship Id="rId4" Type="http://schemas.openxmlformats.org/officeDocument/2006/relationships/hyperlink" Target="https://giurcost.org/decisioni/1996/0007s-96.ht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4</Pages>
  <Words>1415</Words>
  <Characters>8069</Characters>
  <Application>Microsoft Office Word</Application>
  <DocSecurity>0</DocSecurity>
  <Lines>67</Lines>
  <Paragraphs>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Maria Cherchi</dc:creator>
  <cp:keywords/>
  <dc:description/>
  <cp:lastModifiedBy>Roberto Maria Cherchi</cp:lastModifiedBy>
  <cp:revision>5</cp:revision>
  <dcterms:created xsi:type="dcterms:W3CDTF">2025-10-21T15:13:00Z</dcterms:created>
  <dcterms:modified xsi:type="dcterms:W3CDTF">2025-10-22T13:48:00Z</dcterms:modified>
</cp:coreProperties>
</file>