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F4EDE" w14:textId="77777777" w:rsidR="00D005B4" w:rsidRPr="00D005B4" w:rsidRDefault="00D005B4" w:rsidP="00305E80">
      <w:pPr>
        <w:jc w:val="both"/>
      </w:pPr>
      <w:r w:rsidRPr="00D005B4">
        <w:t>SENTENZA N. 193</w:t>
      </w:r>
    </w:p>
    <w:p w14:paraId="2BF18473" w14:textId="77777777" w:rsidR="00D005B4" w:rsidRPr="00D005B4" w:rsidRDefault="00D005B4" w:rsidP="00305E80">
      <w:pPr>
        <w:jc w:val="both"/>
      </w:pPr>
      <w:r w:rsidRPr="00D005B4">
        <w:t>ANNO 2015</w:t>
      </w:r>
    </w:p>
    <w:p w14:paraId="6B72F589" w14:textId="77777777" w:rsidR="00D005B4" w:rsidRPr="00D005B4" w:rsidRDefault="00D005B4" w:rsidP="00305E80">
      <w:pPr>
        <w:jc w:val="both"/>
      </w:pPr>
      <w:r w:rsidRPr="00D005B4">
        <w:t> </w:t>
      </w:r>
    </w:p>
    <w:p w14:paraId="71EA036C" w14:textId="77777777" w:rsidR="00D005B4" w:rsidRPr="00D005B4" w:rsidRDefault="00D005B4" w:rsidP="00305E80">
      <w:pPr>
        <w:jc w:val="both"/>
      </w:pPr>
      <w:r w:rsidRPr="00D005B4">
        <w:t> </w:t>
      </w:r>
    </w:p>
    <w:p w14:paraId="39922EAF" w14:textId="77777777" w:rsidR="00D005B4" w:rsidRPr="00D005B4" w:rsidRDefault="00D005B4" w:rsidP="00305E80">
      <w:pPr>
        <w:jc w:val="both"/>
      </w:pPr>
      <w:r w:rsidRPr="00D005B4">
        <w:t>REPUBBLICA ITALIANA</w:t>
      </w:r>
    </w:p>
    <w:p w14:paraId="3815D182" w14:textId="77777777" w:rsidR="00D005B4" w:rsidRPr="00D005B4" w:rsidRDefault="00D005B4" w:rsidP="00305E80">
      <w:pPr>
        <w:jc w:val="both"/>
      </w:pPr>
      <w:r w:rsidRPr="00D005B4">
        <w:t>IN NOME DEL POPOLO ITALIANO</w:t>
      </w:r>
    </w:p>
    <w:p w14:paraId="38132B37" w14:textId="77777777" w:rsidR="00D005B4" w:rsidRPr="00D005B4" w:rsidRDefault="00D005B4" w:rsidP="00305E80">
      <w:pPr>
        <w:jc w:val="both"/>
      </w:pPr>
      <w:r w:rsidRPr="00D005B4">
        <w:t>LA CORTE COSTITUZIONALE</w:t>
      </w:r>
    </w:p>
    <w:p w14:paraId="526D9F4B" w14:textId="77777777" w:rsidR="00D005B4" w:rsidRPr="00D005B4" w:rsidRDefault="00D005B4" w:rsidP="00305E80">
      <w:pPr>
        <w:jc w:val="both"/>
      </w:pPr>
      <w:r w:rsidRPr="00D005B4">
        <w:t>composta dai signori:</w:t>
      </w:r>
    </w:p>
    <w:p w14:paraId="5284D092" w14:textId="77777777" w:rsidR="00D005B4" w:rsidRPr="00D005B4" w:rsidRDefault="00D005B4" w:rsidP="00305E80">
      <w:pPr>
        <w:jc w:val="both"/>
      </w:pPr>
      <w:r w:rsidRPr="00D005B4">
        <w:t>- Alessandro                      CRISCUOLO                                        Presidente</w:t>
      </w:r>
    </w:p>
    <w:p w14:paraId="4C424017" w14:textId="77777777" w:rsidR="00D005B4" w:rsidRPr="00D005B4" w:rsidRDefault="00D005B4" w:rsidP="00305E80">
      <w:pPr>
        <w:jc w:val="both"/>
      </w:pPr>
      <w:r w:rsidRPr="00D005B4">
        <w:t>- Giuseppe                         FRIGO                                                     Giudice</w:t>
      </w:r>
    </w:p>
    <w:p w14:paraId="24A17E09" w14:textId="77777777" w:rsidR="00D005B4" w:rsidRPr="00D005B4" w:rsidRDefault="00D005B4" w:rsidP="00305E80">
      <w:pPr>
        <w:jc w:val="both"/>
      </w:pPr>
      <w:r w:rsidRPr="00D005B4">
        <w:t xml:space="preserve">- Paolo                               GROSSI                                                       </w:t>
      </w:r>
      <w:proofErr w:type="gramStart"/>
      <w:r w:rsidRPr="00D005B4">
        <w:t>  ”</w:t>
      </w:r>
      <w:proofErr w:type="gramEnd"/>
    </w:p>
    <w:p w14:paraId="626CE447" w14:textId="77777777" w:rsidR="00D005B4" w:rsidRPr="00D005B4" w:rsidRDefault="00D005B4" w:rsidP="00305E80">
      <w:pPr>
        <w:jc w:val="both"/>
      </w:pPr>
      <w:r w:rsidRPr="00D005B4">
        <w:t xml:space="preserve">- Giorgio                            LATTANZI                                                 </w:t>
      </w:r>
      <w:proofErr w:type="gramStart"/>
      <w:r w:rsidRPr="00D005B4">
        <w:t>  ”</w:t>
      </w:r>
      <w:proofErr w:type="gramEnd"/>
    </w:p>
    <w:p w14:paraId="067E5CCD" w14:textId="77777777" w:rsidR="00D005B4" w:rsidRPr="00D005B4" w:rsidRDefault="00D005B4" w:rsidP="00305E80">
      <w:pPr>
        <w:jc w:val="both"/>
      </w:pPr>
      <w:r w:rsidRPr="00D005B4">
        <w:t xml:space="preserve">- Aldo                                CAROSI                                                      </w:t>
      </w:r>
      <w:proofErr w:type="gramStart"/>
      <w:r w:rsidRPr="00D005B4">
        <w:t>  ”</w:t>
      </w:r>
      <w:proofErr w:type="gramEnd"/>
    </w:p>
    <w:p w14:paraId="38BAD241" w14:textId="77777777" w:rsidR="00D005B4" w:rsidRPr="00D005B4" w:rsidRDefault="00D005B4" w:rsidP="00305E80">
      <w:pPr>
        <w:jc w:val="both"/>
      </w:pPr>
      <w:r w:rsidRPr="00D005B4">
        <w:t xml:space="preserve">- Marta                               CARTABIA                                                </w:t>
      </w:r>
      <w:proofErr w:type="gramStart"/>
      <w:r w:rsidRPr="00D005B4">
        <w:t>  ”</w:t>
      </w:r>
      <w:proofErr w:type="gramEnd"/>
    </w:p>
    <w:p w14:paraId="7220E0C6" w14:textId="77777777" w:rsidR="00D005B4" w:rsidRPr="00D005B4" w:rsidRDefault="00D005B4" w:rsidP="00305E80">
      <w:pPr>
        <w:jc w:val="both"/>
      </w:pPr>
      <w:r w:rsidRPr="00D005B4">
        <w:t xml:space="preserve">- Mario Rosario                  MORELLI                                                   </w:t>
      </w:r>
      <w:proofErr w:type="gramStart"/>
      <w:r w:rsidRPr="00D005B4">
        <w:t>  ”</w:t>
      </w:r>
      <w:proofErr w:type="gramEnd"/>
    </w:p>
    <w:p w14:paraId="725C11F9" w14:textId="77777777" w:rsidR="00D005B4" w:rsidRPr="00D005B4" w:rsidRDefault="00D005B4" w:rsidP="00305E80">
      <w:pPr>
        <w:jc w:val="both"/>
      </w:pPr>
      <w:r w:rsidRPr="00D005B4">
        <w:t xml:space="preserve">- Giancarlo                         CORAGGIO                                               </w:t>
      </w:r>
      <w:proofErr w:type="gramStart"/>
      <w:r w:rsidRPr="00D005B4">
        <w:t>  ”</w:t>
      </w:r>
      <w:proofErr w:type="gramEnd"/>
    </w:p>
    <w:p w14:paraId="512A7C03" w14:textId="77777777" w:rsidR="00D005B4" w:rsidRPr="00D005B4" w:rsidRDefault="00D005B4" w:rsidP="00305E80">
      <w:pPr>
        <w:jc w:val="both"/>
      </w:pPr>
      <w:r w:rsidRPr="00D005B4">
        <w:t xml:space="preserve">- Giuliano                           AMATO                                                       </w:t>
      </w:r>
      <w:proofErr w:type="gramStart"/>
      <w:r w:rsidRPr="00D005B4">
        <w:t>  ”</w:t>
      </w:r>
      <w:proofErr w:type="gramEnd"/>
    </w:p>
    <w:p w14:paraId="65E450FC" w14:textId="77777777" w:rsidR="00D005B4" w:rsidRPr="00D005B4" w:rsidRDefault="00D005B4" w:rsidP="00305E80">
      <w:pPr>
        <w:jc w:val="both"/>
      </w:pPr>
      <w:r w:rsidRPr="00D005B4">
        <w:t xml:space="preserve">- Silvana                             SCIARRA                                                   </w:t>
      </w:r>
      <w:proofErr w:type="gramStart"/>
      <w:r w:rsidRPr="00D005B4">
        <w:t>  ”</w:t>
      </w:r>
      <w:proofErr w:type="gramEnd"/>
    </w:p>
    <w:p w14:paraId="0303C1D8" w14:textId="77777777" w:rsidR="00D005B4" w:rsidRPr="00D005B4" w:rsidRDefault="00D005B4" w:rsidP="00305E80">
      <w:pPr>
        <w:jc w:val="both"/>
      </w:pPr>
      <w:r w:rsidRPr="00D005B4">
        <w:t xml:space="preserve">- Daria                                de PRETIS                                                   </w:t>
      </w:r>
      <w:proofErr w:type="gramStart"/>
      <w:r w:rsidRPr="00D005B4">
        <w:t>  ”</w:t>
      </w:r>
      <w:proofErr w:type="gramEnd"/>
    </w:p>
    <w:p w14:paraId="42303D55" w14:textId="77777777" w:rsidR="00D005B4" w:rsidRPr="00D005B4" w:rsidRDefault="00D005B4" w:rsidP="00305E80">
      <w:pPr>
        <w:jc w:val="both"/>
      </w:pPr>
      <w:r w:rsidRPr="00D005B4">
        <w:t xml:space="preserve">- Nicolò                              ZANON                                                       </w:t>
      </w:r>
      <w:proofErr w:type="gramStart"/>
      <w:r w:rsidRPr="00D005B4">
        <w:t>  ”</w:t>
      </w:r>
      <w:proofErr w:type="gramEnd"/>
    </w:p>
    <w:p w14:paraId="4FADB2C2" w14:textId="77777777" w:rsidR="00D005B4" w:rsidRPr="00D005B4" w:rsidRDefault="00D005B4" w:rsidP="00305E80">
      <w:pPr>
        <w:jc w:val="both"/>
      </w:pPr>
      <w:r w:rsidRPr="00D005B4">
        <w:t>ha pronunciato la seguente</w:t>
      </w:r>
    </w:p>
    <w:p w14:paraId="55AF94E4" w14:textId="77777777" w:rsidR="00D005B4" w:rsidRPr="00D005B4" w:rsidRDefault="00D005B4" w:rsidP="00305E80">
      <w:pPr>
        <w:jc w:val="both"/>
      </w:pPr>
      <w:r w:rsidRPr="00D005B4">
        <w:t>SENTENZA</w:t>
      </w:r>
    </w:p>
    <w:p w14:paraId="369193E6" w14:textId="69DB0BB7" w:rsidR="004574EC" w:rsidRPr="00305E80" w:rsidRDefault="004574EC" w:rsidP="00305E80">
      <w:pPr>
        <w:jc w:val="both"/>
        <w:rPr>
          <w:b/>
          <w:bCs/>
        </w:rPr>
      </w:pPr>
      <w:r w:rsidRPr="00305E80">
        <w:rPr>
          <w:b/>
          <w:bCs/>
        </w:rPr>
        <w:t>[…]</w:t>
      </w:r>
    </w:p>
    <w:p w14:paraId="56761BF3" w14:textId="573C1229" w:rsidR="00D005B4" w:rsidRPr="00305E80" w:rsidRDefault="00D005B4" w:rsidP="00305E80">
      <w:pPr>
        <w:jc w:val="both"/>
        <w:rPr>
          <w:b/>
          <w:bCs/>
        </w:rPr>
      </w:pPr>
      <w:r w:rsidRPr="00305E80">
        <w:rPr>
          <w:b/>
          <w:bCs/>
          <w:i/>
          <w:iCs/>
        </w:rPr>
        <w:t>Considerato in diritto</w:t>
      </w:r>
    </w:p>
    <w:p w14:paraId="0C1B21A8" w14:textId="77777777" w:rsidR="00D005B4" w:rsidRPr="00305E80" w:rsidRDefault="00D005B4" w:rsidP="00305E80">
      <w:pPr>
        <w:jc w:val="both"/>
        <w:rPr>
          <w:b/>
          <w:bCs/>
        </w:rPr>
      </w:pPr>
      <w:r w:rsidRPr="00305E80">
        <w:rPr>
          <w:b/>
          <w:bCs/>
        </w:rPr>
        <w:t xml:space="preserve">1.– Il Tribunale amministrativo regionale per la Lombardia dubita della legittimità costituzionale di due disposizioni della legge della Regione Lombardia 31 ottobre 2012, n. 17 (Norme per l’elezione del Consiglio regionale e del Presidente della Regione), relative, rispettivamente, all’attribuzione del </w:t>
      </w:r>
      <w:r w:rsidRPr="00305E80">
        <w:rPr>
          <w:b/>
          <w:bCs/>
          <w:u w:val="single"/>
        </w:rPr>
        <w:t>premio di maggioranza</w:t>
      </w:r>
      <w:r w:rsidRPr="00305E80">
        <w:rPr>
          <w:b/>
          <w:bCs/>
        </w:rPr>
        <w:t xml:space="preserve"> e alla </w:t>
      </w:r>
      <w:r w:rsidRPr="00305E80">
        <w:rPr>
          <w:b/>
          <w:bCs/>
          <w:u w:val="single"/>
        </w:rPr>
        <w:t xml:space="preserve">soglia di sbarramento </w:t>
      </w:r>
      <w:r w:rsidRPr="00305E80">
        <w:rPr>
          <w:b/>
          <w:bCs/>
        </w:rPr>
        <w:t>per accedere alla ripartizione dei seggi.</w:t>
      </w:r>
    </w:p>
    <w:p w14:paraId="07E6DE7C" w14:textId="77777777" w:rsidR="00D005B4" w:rsidRPr="00305E80" w:rsidRDefault="00D005B4" w:rsidP="00305E80">
      <w:pPr>
        <w:jc w:val="both"/>
        <w:rPr>
          <w:b/>
          <w:bCs/>
        </w:rPr>
      </w:pPr>
      <w:r w:rsidRPr="00305E80">
        <w:rPr>
          <w:b/>
          <w:bCs/>
        </w:rPr>
        <w:t>1.1.– In particolare, il TAR censura, in primo luogo, l’art. 1, comma 24, della legge regionale n. 17 del 2012, che assegna alle liste collegate al candidato proclamato eletto Presidente della Regione un premio del 55 per cento dei seggi del Consiglio regionale, se il Presidente eletto abbia ottenuto meno del 40 per cento dei voti (lettera a); ovvero, un premio del 60 per cento dei seggi, se il Presidente eletto abbia raggiunto o superato il 40 per cento dei voti (lettera b).</w:t>
      </w:r>
    </w:p>
    <w:p w14:paraId="3EF1F438" w14:textId="77777777" w:rsidR="00D005B4" w:rsidRPr="002E0BAB" w:rsidRDefault="00D005B4" w:rsidP="00305E80">
      <w:pPr>
        <w:jc w:val="both"/>
        <w:rPr>
          <w:b/>
          <w:bCs/>
        </w:rPr>
      </w:pPr>
      <w:r w:rsidRPr="002E0BAB">
        <w:rPr>
          <w:b/>
          <w:bCs/>
        </w:rPr>
        <w:lastRenderedPageBreak/>
        <w:t>Tale disposizione sarebbe irragionevole e in contrasto con il principio dell’uguaglianza del voto, nella parte in cui collega il premio di maggioranza ai voti ottenuti dal candidato Presidente, anziché a quelli ottenuti dalle liste a lui collegate.</w:t>
      </w:r>
    </w:p>
    <w:p w14:paraId="6332D285" w14:textId="77777777" w:rsidR="00D005B4" w:rsidRPr="002E0BAB" w:rsidRDefault="00D005B4" w:rsidP="00305E80">
      <w:pPr>
        <w:jc w:val="both"/>
        <w:rPr>
          <w:b/>
          <w:bCs/>
        </w:rPr>
      </w:pPr>
      <w:r w:rsidRPr="002E0BAB">
        <w:rPr>
          <w:b/>
          <w:bCs/>
        </w:rPr>
        <w:t xml:space="preserve">Ne risulterebbe vulnerato anche l’art. 121, secondo comma, della Costituzione, in quanto la formazione del Consiglio regionale </w:t>
      </w:r>
      <w:r w:rsidRPr="002E0BAB">
        <w:rPr>
          <w:b/>
          <w:bCs/>
          <w:u w:val="single"/>
        </w:rPr>
        <w:t>dipenderebbe dai risultati elettorali del Presidente</w:t>
      </w:r>
      <w:r w:rsidRPr="002E0BAB">
        <w:rPr>
          <w:b/>
          <w:bCs/>
        </w:rPr>
        <w:t>.</w:t>
      </w:r>
    </w:p>
    <w:p w14:paraId="2FC331C7" w14:textId="77777777" w:rsidR="00D005B4" w:rsidRPr="00D42588" w:rsidRDefault="00D005B4" w:rsidP="00305E80">
      <w:pPr>
        <w:jc w:val="both"/>
        <w:rPr>
          <w:b/>
          <w:bCs/>
        </w:rPr>
      </w:pPr>
      <w:r w:rsidRPr="00D42588">
        <w:rPr>
          <w:b/>
          <w:bCs/>
        </w:rPr>
        <w:t xml:space="preserve">In particolare, l’attribuzione del premio di maggioranza, in mancanza di una soglia minima di consensi da raggiungere per potervi accedere, rischierebbe di </w:t>
      </w:r>
      <w:r w:rsidRPr="00D42588">
        <w:rPr>
          <w:b/>
          <w:bCs/>
          <w:u w:val="single"/>
        </w:rPr>
        <w:t>trasformare una minoranza elettorale in maggioranza consiliare</w:t>
      </w:r>
      <w:r w:rsidRPr="00D42588">
        <w:rPr>
          <w:b/>
          <w:bCs/>
        </w:rPr>
        <w:t>.</w:t>
      </w:r>
    </w:p>
    <w:p w14:paraId="6E5963A0" w14:textId="77777777" w:rsidR="00D005B4" w:rsidRPr="00D42588" w:rsidRDefault="00D005B4" w:rsidP="00305E80">
      <w:pPr>
        <w:jc w:val="both"/>
        <w:rPr>
          <w:b/>
          <w:bCs/>
          <w:u w:val="single"/>
        </w:rPr>
      </w:pPr>
      <w:r w:rsidRPr="00D42588">
        <w:rPr>
          <w:b/>
          <w:bCs/>
        </w:rPr>
        <w:t xml:space="preserve">Peraltro, nell’ipotesi indicata dalla lettera a) dell’art. 1, comma 24, sarebbe irragionevole anche la mancata previsione, ai fini del premio, di una </w:t>
      </w:r>
      <w:r w:rsidRPr="00D42588">
        <w:rPr>
          <w:b/>
          <w:bCs/>
          <w:u w:val="single"/>
        </w:rPr>
        <w:t>soglia minima di consensi che deve ricevere il candidato eletto Presidente.</w:t>
      </w:r>
    </w:p>
    <w:p w14:paraId="764FE423" w14:textId="77777777" w:rsidR="00D005B4" w:rsidRPr="00D005B4" w:rsidRDefault="00D005B4" w:rsidP="00305E80">
      <w:pPr>
        <w:jc w:val="both"/>
      </w:pPr>
      <w:r w:rsidRPr="00D42588">
        <w:rPr>
          <w:b/>
          <w:bCs/>
        </w:rPr>
        <w:t xml:space="preserve">Il sistema elettorale, inoltre, sarebbe ancora più incoerente in relazione alla possibilità offerta all’elettore di esprimere </w:t>
      </w:r>
      <w:r w:rsidRPr="00D42588">
        <w:rPr>
          <w:b/>
          <w:bCs/>
          <w:u w:val="single"/>
        </w:rPr>
        <w:t>il voto disgiunto</w:t>
      </w:r>
      <w:r w:rsidRPr="00D42588">
        <w:rPr>
          <w:b/>
          <w:bCs/>
        </w:rPr>
        <w:t xml:space="preserve">. In tale evenienza, infatti, l’attribuzione del premio di maggioranza risulterebbe </w:t>
      </w:r>
      <w:r w:rsidRPr="00D42588">
        <w:rPr>
          <w:b/>
          <w:bCs/>
          <w:u w:val="single"/>
        </w:rPr>
        <w:t>in aperta contraddizione con le modalità di voto</w:t>
      </w:r>
      <w:r w:rsidRPr="00D42588">
        <w:rPr>
          <w:b/>
          <w:bCs/>
        </w:rPr>
        <w:t>, in quanto sarebbe palesemente disattesa la scelta elettorale di coloro che hanno votato per un candidato Presidente e contemporaneamente per una lista che sostiene un Presidente diverso</w:t>
      </w:r>
      <w:r w:rsidRPr="00D005B4">
        <w:t>.</w:t>
      </w:r>
    </w:p>
    <w:p w14:paraId="71F00C05" w14:textId="77777777" w:rsidR="00D005B4" w:rsidRPr="00972FE2" w:rsidRDefault="00D005B4" w:rsidP="00305E80">
      <w:pPr>
        <w:jc w:val="both"/>
        <w:rPr>
          <w:b/>
          <w:bCs/>
        </w:rPr>
      </w:pPr>
      <w:r w:rsidRPr="00972FE2">
        <w:rPr>
          <w:b/>
          <w:bCs/>
        </w:rPr>
        <w:t xml:space="preserve">Infine, ad avviso del TAR, tale sistema non sarebbe coerente neppure con il principio fondamentale di cui all’art. 4, comma 1, lettera a), della legge 2 luglio 2004, n. 165 (Disposizioni di attuazione dell’articolo 122, primo comma, della Costituzione), perché le esigenze legate alla governabilità </w:t>
      </w:r>
      <w:r w:rsidRPr="00972FE2">
        <w:rPr>
          <w:b/>
          <w:bCs/>
          <w:u w:val="single"/>
        </w:rPr>
        <w:t>non potrebbero ribaltare o alterare in maniera consistente l’esito elettorale</w:t>
      </w:r>
      <w:r w:rsidRPr="00972FE2">
        <w:rPr>
          <w:b/>
          <w:bCs/>
        </w:rPr>
        <w:t>.</w:t>
      </w:r>
    </w:p>
    <w:p w14:paraId="210A1F05" w14:textId="77777777" w:rsidR="00D005B4" w:rsidRPr="000B5752" w:rsidRDefault="00D005B4" w:rsidP="00305E80">
      <w:pPr>
        <w:jc w:val="both"/>
        <w:rPr>
          <w:b/>
          <w:bCs/>
        </w:rPr>
      </w:pPr>
      <w:r w:rsidRPr="000B5752">
        <w:rPr>
          <w:b/>
          <w:bCs/>
        </w:rPr>
        <w:t>1.2.– Il TAR censura, altresì, l’art. 1, comma 30, lettera d), della medesima legge regionale n. 17 del 2012, che, ai fini della ripartizione dei seggi, esclude le liste provinciali il cui gruppo abbia ottenuto nell’intera Regione meno del 3 per cento dei voti, se non è collegato a un candidato Presidente che abbia conseguito almeno il 5 per cento.</w:t>
      </w:r>
    </w:p>
    <w:p w14:paraId="1C54B865" w14:textId="77777777" w:rsidR="00D005B4" w:rsidRPr="000B5752" w:rsidRDefault="00D005B4" w:rsidP="00305E80">
      <w:pPr>
        <w:jc w:val="both"/>
        <w:rPr>
          <w:b/>
          <w:bCs/>
        </w:rPr>
      </w:pPr>
      <w:r w:rsidRPr="000B5752">
        <w:rPr>
          <w:b/>
          <w:bCs/>
        </w:rPr>
        <w:t>Di conseguenza, anche in questo caso, la possibilità del voto disgiunto è fonte di irrazionalità e di incoerenza e stravolge in maniera non consentita il principio di uguaglianza del voto.</w:t>
      </w:r>
    </w:p>
    <w:p w14:paraId="06449DF7" w14:textId="083D2E6D" w:rsidR="0073276F" w:rsidRPr="0073276F" w:rsidRDefault="0073276F" w:rsidP="00305E80">
      <w:pPr>
        <w:jc w:val="both"/>
        <w:rPr>
          <w:b/>
          <w:bCs/>
        </w:rPr>
      </w:pPr>
      <w:r w:rsidRPr="0073276F">
        <w:rPr>
          <w:b/>
          <w:bCs/>
        </w:rPr>
        <w:t>[…]</w:t>
      </w:r>
    </w:p>
    <w:p w14:paraId="191787B6" w14:textId="2CD5199E" w:rsidR="00D005B4" w:rsidRPr="0073276F" w:rsidRDefault="00D005B4" w:rsidP="00305E80">
      <w:pPr>
        <w:jc w:val="both"/>
        <w:rPr>
          <w:b/>
          <w:bCs/>
        </w:rPr>
      </w:pPr>
      <w:r w:rsidRPr="0073276F">
        <w:rPr>
          <w:b/>
          <w:bCs/>
        </w:rPr>
        <w:t>3.– La prima questione riguarda l’assegnazione del premio di maggioranza.</w:t>
      </w:r>
    </w:p>
    <w:p w14:paraId="36BE1A19" w14:textId="2E2AC48B" w:rsidR="00D005B4" w:rsidRPr="0073276F" w:rsidRDefault="00D005B4" w:rsidP="00305E80">
      <w:pPr>
        <w:jc w:val="both"/>
        <w:rPr>
          <w:b/>
          <w:bCs/>
        </w:rPr>
      </w:pPr>
      <w:r w:rsidRPr="0073276F">
        <w:rPr>
          <w:b/>
          <w:bCs/>
        </w:rPr>
        <w:t xml:space="preserve">Il TAR lamenta che la disposizione che lo prevede, </w:t>
      </w:r>
      <w:r w:rsidRPr="0073276F">
        <w:rPr>
          <w:b/>
          <w:bCs/>
          <w:u w:val="single"/>
        </w:rPr>
        <w:t>nel subordinarne l’attribuzione ai voti del Presidente, anziché a quelli delle liste a lui collegate</w:t>
      </w:r>
      <w:r w:rsidRPr="0073276F">
        <w:rPr>
          <w:b/>
          <w:bCs/>
        </w:rPr>
        <w:t xml:space="preserve">, in difetto peraltro di </w:t>
      </w:r>
      <w:r w:rsidRPr="0073276F">
        <w:rPr>
          <w:b/>
          <w:bCs/>
          <w:u w:val="single"/>
        </w:rPr>
        <w:t xml:space="preserve">una soglia minima di voti </w:t>
      </w:r>
      <w:r w:rsidRPr="0073276F">
        <w:rPr>
          <w:b/>
          <w:bCs/>
        </w:rPr>
        <w:t>ad esse riferibile (soglia che nell’ipotesi di cui all’art. 1, comma 24, lettera a, manca anche rispetto ai consensi ottenuti dal Presidente) e per di più con la possibilità di esprimere un voto disgiunto, stravolgerebbe del tutto la volontà del corpo elettorale rispetto alle candidature al Consiglio regionale, ben potendo accadere che liste o coalizioni assolutamente minoritarie ottengano la maggioranza assoluta dei seggi, purché collegate ad un candidato eletto Presidente, anche con un numero esiguo di voti.</w:t>
      </w:r>
      <w:r w:rsidR="0073276F">
        <w:rPr>
          <w:b/>
          <w:bCs/>
        </w:rPr>
        <w:t xml:space="preserve"> </w:t>
      </w:r>
    </w:p>
    <w:p w14:paraId="35FC07C6" w14:textId="77777777" w:rsidR="00D005B4" w:rsidRPr="00D85653" w:rsidRDefault="00D005B4" w:rsidP="00305E80">
      <w:pPr>
        <w:jc w:val="both"/>
        <w:rPr>
          <w:b/>
          <w:bCs/>
        </w:rPr>
      </w:pPr>
      <w:r w:rsidRPr="00D85653">
        <w:rPr>
          <w:b/>
          <w:bCs/>
        </w:rPr>
        <w:t>3.1.– La questione è inammissibile.</w:t>
      </w:r>
    </w:p>
    <w:p w14:paraId="20C316D7" w14:textId="77777777" w:rsidR="00D005B4" w:rsidRPr="00D85653" w:rsidRDefault="00D005B4" w:rsidP="00305E80">
      <w:pPr>
        <w:jc w:val="both"/>
        <w:rPr>
          <w:b/>
          <w:bCs/>
        </w:rPr>
      </w:pPr>
      <w:r w:rsidRPr="00D85653">
        <w:rPr>
          <w:b/>
          <w:bCs/>
        </w:rPr>
        <w:t>Come risulta dal verbale delle operazioni elettorali, infatti, nelle elezioni regionali del 24 e 25 febbraio 2013, a fronte di una percentuale del 42,81 per cento di voti ottenuta dal candidato eletto Presidente, le liste a lui collegate hanno conseguito il 43,07 per cento dei suffragi, raccogliendo un consenso che le ha portate a superare la stessa soglia fissata per il Presidente.</w:t>
      </w:r>
    </w:p>
    <w:p w14:paraId="774FFCC3" w14:textId="77777777" w:rsidR="00D005B4" w:rsidRPr="00D85653" w:rsidRDefault="00D005B4" w:rsidP="00305E80">
      <w:pPr>
        <w:jc w:val="both"/>
        <w:rPr>
          <w:b/>
          <w:bCs/>
        </w:rPr>
      </w:pPr>
      <w:r w:rsidRPr="00D85653">
        <w:rPr>
          <w:b/>
          <w:bCs/>
        </w:rPr>
        <w:lastRenderedPageBreak/>
        <w:t>Dunque, nella sua applicazione al caso concreto, la disposizione censurata non ha prodotto alcuno degli effetti incostituzionali paventati dal rimettente: la maggioranza assoluta dei seggi, infatti, non è stata attribuita ad una coalizione votata da una frazione minuscola dell’elettorato; il Presidente a cui le liste erano collegate non è risultato eletto con un numero esiguo di voti; né il voto disgiunto ha comportato voti per le liste collegate inferiori a quelli del Presidente.</w:t>
      </w:r>
    </w:p>
    <w:p w14:paraId="52A0A9B1" w14:textId="77777777" w:rsidR="00D005B4" w:rsidRPr="00D85653" w:rsidRDefault="00D005B4" w:rsidP="00305E80">
      <w:pPr>
        <w:jc w:val="both"/>
        <w:rPr>
          <w:b/>
          <w:bCs/>
        </w:rPr>
      </w:pPr>
      <w:r w:rsidRPr="00D85653">
        <w:rPr>
          <w:b/>
          <w:bCs/>
        </w:rPr>
        <w:t xml:space="preserve">In ragione di ciò la questione risulta essere meramente ipotetica, e pertanto non rilevante (ex </w:t>
      </w:r>
      <w:proofErr w:type="spellStart"/>
      <w:r w:rsidRPr="00D85653">
        <w:rPr>
          <w:b/>
          <w:bCs/>
        </w:rPr>
        <w:t>plurimis</w:t>
      </w:r>
      <w:proofErr w:type="spellEnd"/>
      <w:r w:rsidRPr="00D85653">
        <w:rPr>
          <w:b/>
          <w:bCs/>
        </w:rPr>
        <w:t>, </w:t>
      </w:r>
      <w:hyperlink r:id="rId4" w:history="1">
        <w:r w:rsidRPr="00D85653">
          <w:rPr>
            <w:rStyle w:val="Collegamentoipertestuale"/>
            <w:b/>
            <w:bCs/>
          </w:rPr>
          <w:t>ordinanza n. 128 del 2015</w:t>
        </w:r>
      </w:hyperlink>
      <w:r w:rsidRPr="00D85653">
        <w:rPr>
          <w:b/>
          <w:bCs/>
        </w:rPr>
        <w:t>). Di qui la sua inammissibilità.</w:t>
      </w:r>
    </w:p>
    <w:p w14:paraId="789AD805" w14:textId="77777777" w:rsidR="00D005B4" w:rsidRPr="00D85653" w:rsidRDefault="00D005B4" w:rsidP="00305E80">
      <w:pPr>
        <w:jc w:val="both"/>
        <w:rPr>
          <w:b/>
          <w:bCs/>
        </w:rPr>
      </w:pPr>
      <w:r w:rsidRPr="00D85653">
        <w:rPr>
          <w:b/>
          <w:bCs/>
        </w:rPr>
        <w:t>4.– La seconda questione riguarda la soglia di sbarramento.</w:t>
      </w:r>
    </w:p>
    <w:p w14:paraId="675E2728" w14:textId="77777777" w:rsidR="00D005B4" w:rsidRPr="00D85653" w:rsidRDefault="00D005B4" w:rsidP="00305E80">
      <w:pPr>
        <w:jc w:val="both"/>
        <w:rPr>
          <w:b/>
          <w:bCs/>
        </w:rPr>
      </w:pPr>
      <w:r w:rsidRPr="00D85653">
        <w:rPr>
          <w:b/>
          <w:bCs/>
        </w:rPr>
        <w:t>4.1.– Non è fondata l’eccezione di inammissibilità della questione, sollevata dalla Regione, per contraddittorietà dell’ordinanza di rimessione.</w:t>
      </w:r>
    </w:p>
    <w:p w14:paraId="221126BD" w14:textId="77777777" w:rsidR="00D005B4" w:rsidRPr="00D85653" w:rsidRDefault="00D005B4" w:rsidP="00305E80">
      <w:pPr>
        <w:jc w:val="both"/>
        <w:rPr>
          <w:b/>
          <w:bCs/>
        </w:rPr>
      </w:pPr>
      <w:r w:rsidRPr="00D85653">
        <w:rPr>
          <w:b/>
          <w:bCs/>
        </w:rPr>
        <w:t>In realtà, il giudice a quo ritiene che il nesso tra i voti ottenuti dalle liste e i voti del Presidente sia determinante ai fini dell’operatività dell’intero meccanismo della soglia di sbarramento e dunque, correttamente, estende all’intera disposizione il sollevato dubbio di costituzionalità.</w:t>
      </w:r>
    </w:p>
    <w:p w14:paraId="0707E825" w14:textId="77777777" w:rsidR="00D005B4" w:rsidRPr="00D85653" w:rsidRDefault="00D005B4" w:rsidP="00305E80">
      <w:pPr>
        <w:jc w:val="both"/>
        <w:rPr>
          <w:b/>
          <w:bCs/>
        </w:rPr>
      </w:pPr>
      <w:r w:rsidRPr="00D85653">
        <w:rPr>
          <w:b/>
          <w:bCs/>
        </w:rPr>
        <w:t xml:space="preserve">4.1.1.– Parimenti non fondata è </w:t>
      </w:r>
      <w:r w:rsidRPr="00D85653">
        <w:rPr>
          <w:b/>
          <w:bCs/>
          <w:u w:val="single"/>
        </w:rPr>
        <w:t>la conseguente eccezione di inammissibilità relativa alla natura politica della scelta</w:t>
      </w:r>
      <w:r w:rsidRPr="00D85653">
        <w:rPr>
          <w:b/>
          <w:bCs/>
        </w:rPr>
        <w:t xml:space="preserve"> che sarebbe rimessa a questa Corte sull’oggetto della declaratoria di illegittimità costituzionale (se l’intera disposizione censurata o solo la parte relativa al collegamento con il Presidente).</w:t>
      </w:r>
    </w:p>
    <w:p w14:paraId="556191DB" w14:textId="77777777" w:rsidR="00D005B4" w:rsidRPr="003103BD" w:rsidRDefault="00D005B4" w:rsidP="00305E80">
      <w:pPr>
        <w:jc w:val="both"/>
        <w:rPr>
          <w:b/>
          <w:bCs/>
        </w:rPr>
      </w:pPr>
      <w:r w:rsidRPr="003103BD">
        <w:rPr>
          <w:b/>
          <w:bCs/>
        </w:rPr>
        <w:t>4.1.2.– Quanto al difetto di rilevanza, non è vero che dall’eventuale accoglimento della questione non deriverebbe alcun mutamento nel riparto dei seggi, poiché, come nota il rimettente, in base alla disciplina contestata la lista del «Partito dei pensionati», che ha avuto lo 0,94 per cento dei voti, ha ottenuto un seggio perché collegata al Presidente eletto, mentre è rimasta esclusa dal riparto la lista del «Centro Popolare Lombardo», che ha conseguito l’1,18 per cento dei voti, ma non era collegata al candidato eletto Presidente.</w:t>
      </w:r>
    </w:p>
    <w:p w14:paraId="1B25642A" w14:textId="77777777" w:rsidR="00D005B4" w:rsidRPr="003103BD" w:rsidRDefault="00D005B4" w:rsidP="00305E80">
      <w:pPr>
        <w:jc w:val="both"/>
        <w:rPr>
          <w:b/>
          <w:bCs/>
        </w:rPr>
      </w:pPr>
      <w:r w:rsidRPr="003103BD">
        <w:rPr>
          <w:b/>
          <w:bCs/>
        </w:rPr>
        <w:t>4.2.– Nel merito, la questione non è fondata in riferimento ad alcuno dei parametri evocati.</w:t>
      </w:r>
    </w:p>
    <w:p w14:paraId="04805E6D" w14:textId="77777777" w:rsidR="00D005B4" w:rsidRPr="003103BD" w:rsidRDefault="00D005B4" w:rsidP="00305E80">
      <w:pPr>
        <w:jc w:val="both"/>
        <w:rPr>
          <w:b/>
          <w:bCs/>
        </w:rPr>
      </w:pPr>
      <w:r w:rsidRPr="003103BD">
        <w:rPr>
          <w:b/>
          <w:bCs/>
        </w:rPr>
        <w:t>La previsione di soglie di sbarramento e quella delle modalità per la loro applicazione, infatti, sono tipiche manifestazioni della discrezionalità del legislatore che intenda evitare la frammentazione della rappresentanza politica, e contribuire alla governabilità.</w:t>
      </w:r>
    </w:p>
    <w:p w14:paraId="4BB333CB" w14:textId="77777777" w:rsidR="00D005B4" w:rsidRPr="003103BD" w:rsidRDefault="00D005B4" w:rsidP="00305E80">
      <w:pPr>
        <w:jc w:val="both"/>
        <w:rPr>
          <w:b/>
          <w:bCs/>
        </w:rPr>
      </w:pPr>
      <w:r w:rsidRPr="003103BD">
        <w:rPr>
          <w:b/>
          <w:bCs/>
        </w:rPr>
        <w:t xml:space="preserve">Si tratta di un </w:t>
      </w:r>
      <w:r w:rsidRPr="003103BD">
        <w:rPr>
          <w:b/>
          <w:bCs/>
          <w:u w:val="single"/>
        </w:rPr>
        <w:t>fine non arbitrario</w:t>
      </w:r>
      <w:r w:rsidRPr="003103BD">
        <w:rPr>
          <w:b/>
          <w:bCs/>
        </w:rPr>
        <w:t>, che lo stesso legislatore statale ha perseguito con l’art. 7 della legge 23 febbraio 1995, n. 43 (Nuove norme per la elezione dei consigli delle regioni a statuto ordinario), laddove ha previsto una disciplina della soglia di sbarramento analoga a quella oggetto del presente giudizio.</w:t>
      </w:r>
    </w:p>
    <w:p w14:paraId="34D6D56D" w14:textId="77777777" w:rsidR="00D005B4" w:rsidRPr="003103BD" w:rsidRDefault="00D005B4" w:rsidP="00305E80">
      <w:pPr>
        <w:jc w:val="both"/>
        <w:rPr>
          <w:b/>
          <w:bCs/>
        </w:rPr>
      </w:pPr>
      <w:r w:rsidRPr="003103BD">
        <w:rPr>
          <w:b/>
          <w:bCs/>
        </w:rPr>
        <w:t>Quanto al censurato collegamento tra l’operatività della soglia e il risultato elettorale del candidato Presidente, esso appare coerente con la forma di governo regionale prevista dalla Costituzione per il caso del Presidente eletto direttamente, la quale valorizza il vincolo che lega il Consiglio regionale al Presidente eletto in forza del principio del </w:t>
      </w:r>
      <w:proofErr w:type="spellStart"/>
      <w:r w:rsidRPr="003103BD">
        <w:rPr>
          <w:b/>
          <w:bCs/>
          <w:i/>
          <w:iCs/>
        </w:rPr>
        <w:t>simul</w:t>
      </w:r>
      <w:proofErr w:type="spellEnd"/>
      <w:r w:rsidRPr="003103BD">
        <w:rPr>
          <w:b/>
          <w:bCs/>
          <w:i/>
          <w:iCs/>
        </w:rPr>
        <w:t> </w:t>
      </w:r>
      <w:proofErr w:type="spellStart"/>
      <w:r w:rsidRPr="003103BD">
        <w:rPr>
          <w:b/>
          <w:bCs/>
          <w:i/>
          <w:iCs/>
        </w:rPr>
        <w:t>stabunt</w:t>
      </w:r>
      <w:proofErr w:type="spellEnd"/>
      <w:r w:rsidRPr="003103BD">
        <w:rPr>
          <w:b/>
          <w:bCs/>
          <w:i/>
          <w:iCs/>
        </w:rPr>
        <w:t xml:space="preserve">, </w:t>
      </w:r>
      <w:proofErr w:type="spellStart"/>
      <w:r w:rsidRPr="003103BD">
        <w:rPr>
          <w:b/>
          <w:bCs/>
          <w:i/>
          <w:iCs/>
        </w:rPr>
        <w:t>simul</w:t>
      </w:r>
      <w:proofErr w:type="spellEnd"/>
      <w:r w:rsidRPr="003103BD">
        <w:rPr>
          <w:b/>
          <w:bCs/>
          <w:i/>
          <w:iCs/>
        </w:rPr>
        <w:t xml:space="preserve"> </w:t>
      </w:r>
      <w:proofErr w:type="spellStart"/>
      <w:r w:rsidRPr="003103BD">
        <w:rPr>
          <w:b/>
          <w:bCs/>
          <w:i/>
          <w:iCs/>
        </w:rPr>
        <w:t>cadent</w:t>
      </w:r>
      <w:proofErr w:type="spellEnd"/>
      <w:r w:rsidRPr="003103BD">
        <w:rPr>
          <w:b/>
          <w:bCs/>
        </w:rPr>
        <w:t>.</w:t>
      </w:r>
    </w:p>
    <w:p w14:paraId="30C698E8" w14:textId="77777777" w:rsidR="00D005B4" w:rsidRPr="003103BD" w:rsidRDefault="00D005B4" w:rsidP="00305E80">
      <w:pPr>
        <w:jc w:val="both"/>
        <w:rPr>
          <w:b/>
          <w:bCs/>
        </w:rPr>
      </w:pPr>
      <w:r w:rsidRPr="003103BD">
        <w:rPr>
          <w:b/>
          <w:bCs/>
        </w:rPr>
        <w:t>D’altra parte, questa Corte ha sottolineato il nesso di complementarità e integrazione tra forma di governo regionale e legge elettorale, affermando che «la legge elettorale deve armonizzarsi con la forma di governo, allo scopo di fornire a quest’ultima strumenti adeguati di equilibrato funzionamento sin dal momento della costituzione degli organi della Regione, mediante la preposizione dei titolari alle singole cariche» (</w:t>
      </w:r>
      <w:hyperlink r:id="rId5" w:history="1">
        <w:r w:rsidRPr="003103BD">
          <w:rPr>
            <w:rStyle w:val="Collegamentoipertestuale"/>
            <w:b/>
            <w:bCs/>
          </w:rPr>
          <w:t>sentenza n. 4 del 2010</w:t>
        </w:r>
      </w:hyperlink>
      <w:r w:rsidRPr="003103BD">
        <w:rPr>
          <w:b/>
          <w:bCs/>
        </w:rPr>
        <w:t>).</w:t>
      </w:r>
    </w:p>
    <w:p w14:paraId="4DE4BBBF" w14:textId="77777777" w:rsidR="00D005B4" w:rsidRPr="003103BD" w:rsidRDefault="00D005B4" w:rsidP="00305E80">
      <w:pPr>
        <w:jc w:val="both"/>
        <w:rPr>
          <w:b/>
          <w:bCs/>
        </w:rPr>
      </w:pPr>
      <w:r w:rsidRPr="003103BD">
        <w:rPr>
          <w:b/>
          <w:bCs/>
        </w:rPr>
        <w:t>Per Questi Motivi</w:t>
      </w:r>
    </w:p>
    <w:p w14:paraId="5B036274" w14:textId="77777777" w:rsidR="00D005B4" w:rsidRPr="003103BD" w:rsidRDefault="00D005B4" w:rsidP="00305E80">
      <w:pPr>
        <w:jc w:val="both"/>
        <w:rPr>
          <w:b/>
          <w:bCs/>
        </w:rPr>
      </w:pPr>
      <w:r w:rsidRPr="003103BD">
        <w:rPr>
          <w:b/>
          <w:bCs/>
        </w:rPr>
        <w:t>LA CORTE COSTITUZIONALE</w:t>
      </w:r>
    </w:p>
    <w:p w14:paraId="2BE4F4B4" w14:textId="77777777" w:rsidR="00D005B4" w:rsidRPr="003103BD" w:rsidRDefault="00D005B4" w:rsidP="00305E80">
      <w:pPr>
        <w:jc w:val="both"/>
        <w:rPr>
          <w:b/>
          <w:bCs/>
        </w:rPr>
      </w:pPr>
      <w:r w:rsidRPr="003103BD">
        <w:rPr>
          <w:b/>
          <w:bCs/>
        </w:rPr>
        <w:lastRenderedPageBreak/>
        <w:t>1) </w:t>
      </w:r>
      <w:r w:rsidRPr="003103BD">
        <w:rPr>
          <w:b/>
          <w:bCs/>
          <w:i/>
          <w:iCs/>
        </w:rPr>
        <w:t>dichiara</w:t>
      </w:r>
      <w:r w:rsidRPr="003103BD">
        <w:rPr>
          <w:b/>
          <w:bCs/>
        </w:rPr>
        <w:t> inammissibile la questione di legittimità costituzionale dell’art. 1, comma 24, della legge della Regione Lombardia 31 ottobre 2012, n. 17 (Norme per l’elezione del Consiglio regionale e del Presidente della Regione), sollevata, in riferimento agli artt. 3, 48, secondo comma, 51, 121, secondo comma, e 122 della Costituzione, in relazione all’art. 4, comma 1, lettera a), della legge 2 luglio 2004, n. 165 (Disposizioni di attuazione dell’articolo 122, primo comma, della Costituzione), dal Tribunale amministrativo regionale per la Lombardia con l’ordinanza indicata in epigrafe;</w:t>
      </w:r>
    </w:p>
    <w:p w14:paraId="098C5AD6" w14:textId="77777777" w:rsidR="00D005B4" w:rsidRPr="003103BD" w:rsidRDefault="00D005B4" w:rsidP="00305E80">
      <w:pPr>
        <w:jc w:val="both"/>
        <w:rPr>
          <w:b/>
          <w:bCs/>
        </w:rPr>
      </w:pPr>
      <w:r w:rsidRPr="003103BD">
        <w:rPr>
          <w:b/>
          <w:bCs/>
        </w:rPr>
        <w:t>2) </w:t>
      </w:r>
      <w:r w:rsidRPr="003103BD">
        <w:rPr>
          <w:b/>
          <w:bCs/>
          <w:i/>
          <w:iCs/>
        </w:rPr>
        <w:t>dichiara </w:t>
      </w:r>
      <w:r w:rsidRPr="003103BD">
        <w:rPr>
          <w:b/>
          <w:bCs/>
        </w:rPr>
        <w:t>non fondata la questione di legittimità costituzionale dell’art. 1, comma 30, lettera d), della medesima legge della Regione Lombardia n. 17 del 2012, sollevata, in riferimento agli artt. 3, 48, secondo comma, 51, 121, secondo comma, e 122 Cost., in relazione all’art. 4, comma 1, lettera a), della legge n. 165 del 2004, dal TAR Lombardia con l’ordinanza indicata in epigrafe.</w:t>
      </w:r>
    </w:p>
    <w:p w14:paraId="6885751E" w14:textId="77777777" w:rsidR="00D005B4" w:rsidRPr="00D005B4" w:rsidRDefault="00D005B4" w:rsidP="00305E80">
      <w:pPr>
        <w:jc w:val="both"/>
      </w:pPr>
      <w:r w:rsidRPr="00D005B4">
        <w:t>Così deciso in Roma, nella sede della Corte costituzionale, Palazzo della Consulta, il 7 luglio 2015.</w:t>
      </w:r>
    </w:p>
    <w:p w14:paraId="62EAF4A3" w14:textId="77777777" w:rsidR="00D005B4" w:rsidRPr="00D005B4" w:rsidRDefault="00D005B4" w:rsidP="00305E80">
      <w:pPr>
        <w:jc w:val="both"/>
      </w:pPr>
      <w:r w:rsidRPr="00D005B4">
        <w:t>F.to:</w:t>
      </w:r>
    </w:p>
    <w:p w14:paraId="6AB7EAE7" w14:textId="77777777" w:rsidR="00D005B4" w:rsidRPr="00D005B4" w:rsidRDefault="00D005B4" w:rsidP="00305E80">
      <w:pPr>
        <w:jc w:val="both"/>
      </w:pPr>
      <w:r w:rsidRPr="00D005B4">
        <w:t>Alessandro CRISCUOLO, Presidente</w:t>
      </w:r>
    </w:p>
    <w:p w14:paraId="2CBB8A05" w14:textId="77777777" w:rsidR="00D005B4" w:rsidRPr="00D005B4" w:rsidRDefault="00D005B4" w:rsidP="00305E80">
      <w:pPr>
        <w:jc w:val="both"/>
      </w:pPr>
      <w:r w:rsidRPr="00D005B4">
        <w:t>Giuliano AMATO, Redattore</w:t>
      </w:r>
    </w:p>
    <w:p w14:paraId="31AA9D16" w14:textId="77777777" w:rsidR="00D005B4" w:rsidRPr="00D005B4" w:rsidRDefault="00D005B4" w:rsidP="00305E80">
      <w:pPr>
        <w:jc w:val="both"/>
      </w:pPr>
      <w:r w:rsidRPr="00D005B4">
        <w:t>Gabriella Paola MELATTI, Cancelliere</w:t>
      </w:r>
    </w:p>
    <w:p w14:paraId="79592277" w14:textId="77777777" w:rsidR="00D005B4" w:rsidRPr="00D005B4" w:rsidRDefault="00D005B4" w:rsidP="00305E80">
      <w:pPr>
        <w:jc w:val="both"/>
      </w:pPr>
      <w:r w:rsidRPr="00D005B4">
        <w:t>Depositata in Cancelleria il 24 settembre 2015.</w:t>
      </w:r>
    </w:p>
    <w:p w14:paraId="6B8C2863" w14:textId="77777777" w:rsidR="00D005B4" w:rsidRPr="00D005B4" w:rsidRDefault="00D005B4" w:rsidP="00305E80">
      <w:pPr>
        <w:jc w:val="both"/>
      </w:pPr>
      <w:r w:rsidRPr="00D005B4">
        <w:t> </w:t>
      </w:r>
    </w:p>
    <w:p w14:paraId="28160ACB" w14:textId="77777777" w:rsidR="00B50B1F" w:rsidRDefault="00B50B1F" w:rsidP="00305E80">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6F7"/>
    <w:rsid w:val="000B5752"/>
    <w:rsid w:val="00163C51"/>
    <w:rsid w:val="002E0BAB"/>
    <w:rsid w:val="002E6B83"/>
    <w:rsid w:val="00305E80"/>
    <w:rsid w:val="003103BD"/>
    <w:rsid w:val="004574EC"/>
    <w:rsid w:val="0073276F"/>
    <w:rsid w:val="00972FE2"/>
    <w:rsid w:val="00A716F7"/>
    <w:rsid w:val="00B50B1F"/>
    <w:rsid w:val="00D005B4"/>
    <w:rsid w:val="00D42588"/>
    <w:rsid w:val="00D856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5847B"/>
  <w15:chartTrackingRefBased/>
  <w15:docId w15:val="{ED196B6D-8A7C-4AA7-AEF0-06FDE20EA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716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716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716F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716F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716F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716F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716F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716F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716F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716F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716F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716F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716F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716F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716F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716F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716F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716F7"/>
    <w:rPr>
      <w:rFonts w:eastAsiaTheme="majorEastAsia" w:cstheme="majorBidi"/>
      <w:color w:val="272727" w:themeColor="text1" w:themeTint="D8"/>
    </w:rPr>
  </w:style>
  <w:style w:type="paragraph" w:styleId="Titolo">
    <w:name w:val="Title"/>
    <w:basedOn w:val="Normale"/>
    <w:next w:val="Normale"/>
    <w:link w:val="TitoloCarattere"/>
    <w:uiPriority w:val="10"/>
    <w:qFormat/>
    <w:rsid w:val="00A716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716F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716F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716F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716F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716F7"/>
    <w:rPr>
      <w:i/>
      <w:iCs/>
      <w:color w:val="404040" w:themeColor="text1" w:themeTint="BF"/>
    </w:rPr>
  </w:style>
  <w:style w:type="paragraph" w:styleId="Paragrafoelenco">
    <w:name w:val="List Paragraph"/>
    <w:basedOn w:val="Normale"/>
    <w:uiPriority w:val="34"/>
    <w:qFormat/>
    <w:rsid w:val="00A716F7"/>
    <w:pPr>
      <w:ind w:left="720"/>
      <w:contextualSpacing/>
    </w:pPr>
  </w:style>
  <w:style w:type="character" w:styleId="Enfasiintensa">
    <w:name w:val="Intense Emphasis"/>
    <w:basedOn w:val="Carpredefinitoparagrafo"/>
    <w:uiPriority w:val="21"/>
    <w:qFormat/>
    <w:rsid w:val="00A716F7"/>
    <w:rPr>
      <w:i/>
      <w:iCs/>
      <w:color w:val="0F4761" w:themeColor="accent1" w:themeShade="BF"/>
    </w:rPr>
  </w:style>
  <w:style w:type="paragraph" w:styleId="Citazioneintensa">
    <w:name w:val="Intense Quote"/>
    <w:basedOn w:val="Normale"/>
    <w:next w:val="Normale"/>
    <w:link w:val="CitazioneintensaCarattere"/>
    <w:uiPriority w:val="30"/>
    <w:qFormat/>
    <w:rsid w:val="00A716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716F7"/>
    <w:rPr>
      <w:i/>
      <w:iCs/>
      <w:color w:val="0F4761" w:themeColor="accent1" w:themeShade="BF"/>
    </w:rPr>
  </w:style>
  <w:style w:type="character" w:styleId="Riferimentointenso">
    <w:name w:val="Intense Reference"/>
    <w:basedOn w:val="Carpredefinitoparagrafo"/>
    <w:uiPriority w:val="32"/>
    <w:qFormat/>
    <w:rsid w:val="00A716F7"/>
    <w:rPr>
      <w:b/>
      <w:bCs/>
      <w:smallCaps/>
      <w:color w:val="0F4761" w:themeColor="accent1" w:themeShade="BF"/>
      <w:spacing w:val="5"/>
    </w:rPr>
  </w:style>
  <w:style w:type="character" w:styleId="Collegamentoipertestuale">
    <w:name w:val="Hyperlink"/>
    <w:basedOn w:val="Carpredefinitoparagrafo"/>
    <w:uiPriority w:val="99"/>
    <w:unhideWhenUsed/>
    <w:rsid w:val="00D005B4"/>
    <w:rPr>
      <w:color w:val="467886" w:themeColor="hyperlink"/>
      <w:u w:val="single"/>
    </w:rPr>
  </w:style>
  <w:style w:type="character" w:styleId="Menzionenonrisolta">
    <w:name w:val="Unresolved Mention"/>
    <w:basedOn w:val="Carpredefinitoparagrafo"/>
    <w:uiPriority w:val="99"/>
    <w:semiHidden/>
    <w:unhideWhenUsed/>
    <w:rsid w:val="00D005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3281294">
      <w:bodyDiv w:val="1"/>
      <w:marLeft w:val="0"/>
      <w:marRight w:val="0"/>
      <w:marTop w:val="0"/>
      <w:marBottom w:val="0"/>
      <w:divBdr>
        <w:top w:val="none" w:sz="0" w:space="0" w:color="auto"/>
        <w:left w:val="none" w:sz="0" w:space="0" w:color="auto"/>
        <w:bottom w:val="none" w:sz="0" w:space="0" w:color="auto"/>
        <w:right w:val="none" w:sz="0" w:space="0" w:color="auto"/>
      </w:divBdr>
    </w:div>
    <w:div w:id="1319189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giurcost.org/decisioni/2010/0004s-10.html" TargetMode="External"/><Relationship Id="rId4" Type="http://schemas.openxmlformats.org/officeDocument/2006/relationships/hyperlink" Target="https://giurcost.org/decisioni/2015/0128o-15.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1592</Words>
  <Characters>9080</Characters>
  <Application>Microsoft Office Word</Application>
  <DocSecurity>0</DocSecurity>
  <Lines>75</Lines>
  <Paragraphs>21</Paragraphs>
  <ScaleCrop>false</ScaleCrop>
  <Company/>
  <LinksUpToDate>false</LinksUpToDate>
  <CharactersWithSpaces>10651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11</cp:revision>
  <dcterms:created xsi:type="dcterms:W3CDTF">2025-10-24T16:26:00Z</dcterms:created>
  <dcterms:modified xsi:type="dcterms:W3CDTF">2025-10-28T16:14:00Z</dcterms:modified>
</cp:coreProperties>
</file>