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B5FDB1" w14:textId="77777777" w:rsidR="00992069" w:rsidRPr="00992069" w:rsidRDefault="00992069" w:rsidP="003B27A1">
      <w:pPr>
        <w:jc w:val="both"/>
      </w:pPr>
      <w:r w:rsidRPr="00992069">
        <w:t>SENTENZA N. 200</w:t>
      </w:r>
    </w:p>
    <w:p w14:paraId="02D212F9" w14:textId="77777777" w:rsidR="00992069" w:rsidRPr="00992069" w:rsidRDefault="00992069" w:rsidP="003B27A1">
      <w:pPr>
        <w:jc w:val="both"/>
      </w:pPr>
      <w:r w:rsidRPr="00992069">
        <w:t>ANNO 2009</w:t>
      </w:r>
    </w:p>
    <w:p w14:paraId="487DFF5B" w14:textId="2E85C15C" w:rsidR="00992069" w:rsidRPr="00992069" w:rsidRDefault="00992069" w:rsidP="003B27A1">
      <w:pPr>
        <w:jc w:val="both"/>
      </w:pPr>
      <w:r w:rsidRPr="00992069">
        <w:t> </w:t>
      </w:r>
    </w:p>
    <w:p w14:paraId="24BA254B" w14:textId="77777777" w:rsidR="00992069" w:rsidRPr="00992069" w:rsidRDefault="00992069" w:rsidP="003B27A1">
      <w:pPr>
        <w:jc w:val="both"/>
      </w:pPr>
      <w:r w:rsidRPr="00992069">
        <w:rPr>
          <w:b/>
          <w:bCs/>
        </w:rPr>
        <w:t> </w:t>
      </w:r>
    </w:p>
    <w:p w14:paraId="143582EB" w14:textId="77777777" w:rsidR="00992069" w:rsidRPr="00992069" w:rsidRDefault="00992069" w:rsidP="003B27A1">
      <w:pPr>
        <w:jc w:val="both"/>
      </w:pPr>
      <w:r w:rsidRPr="00992069">
        <w:rPr>
          <w:b/>
          <w:bCs/>
        </w:rPr>
        <w:t> </w:t>
      </w:r>
    </w:p>
    <w:p w14:paraId="63EC2E96" w14:textId="77777777" w:rsidR="00992069" w:rsidRPr="00992069" w:rsidRDefault="00992069" w:rsidP="003B27A1">
      <w:pPr>
        <w:jc w:val="both"/>
      </w:pPr>
      <w:r w:rsidRPr="00992069">
        <w:t>REPUBBLICA ITALIANA</w:t>
      </w:r>
    </w:p>
    <w:p w14:paraId="76C419B0" w14:textId="77777777" w:rsidR="00992069" w:rsidRPr="00992069" w:rsidRDefault="00992069" w:rsidP="003B27A1">
      <w:pPr>
        <w:jc w:val="both"/>
      </w:pPr>
      <w:r w:rsidRPr="00992069">
        <w:t>IN NOME DEL POPOLO ITALIANO</w:t>
      </w:r>
    </w:p>
    <w:p w14:paraId="5C1A760A" w14:textId="77777777" w:rsidR="00992069" w:rsidRPr="00992069" w:rsidRDefault="00992069" w:rsidP="003B27A1">
      <w:pPr>
        <w:jc w:val="both"/>
      </w:pPr>
      <w:r w:rsidRPr="00992069">
        <w:t>LA CORTE COSTITUZIONALE</w:t>
      </w:r>
    </w:p>
    <w:p w14:paraId="7E2F3645" w14:textId="77777777" w:rsidR="00992069" w:rsidRPr="00992069" w:rsidRDefault="00992069" w:rsidP="003B27A1">
      <w:pPr>
        <w:jc w:val="both"/>
      </w:pPr>
      <w:r w:rsidRPr="00992069">
        <w:t>composta dai signori:</w:t>
      </w:r>
    </w:p>
    <w:p w14:paraId="7441F0B2" w14:textId="77777777" w:rsidR="00992069" w:rsidRPr="00992069" w:rsidRDefault="00992069" w:rsidP="003B27A1">
      <w:pPr>
        <w:jc w:val="both"/>
      </w:pPr>
      <w:r w:rsidRPr="00992069">
        <w:t>-        Francesco              AMIRANTE          Presidente</w:t>
      </w:r>
    </w:p>
    <w:p w14:paraId="20BBD1C7" w14:textId="77777777" w:rsidR="00992069" w:rsidRPr="00992069" w:rsidRDefault="00992069" w:rsidP="003B27A1">
      <w:pPr>
        <w:jc w:val="both"/>
      </w:pPr>
      <w:r w:rsidRPr="00992069">
        <w:t>-        Ugo                      DE SIERVO          Giudice</w:t>
      </w:r>
    </w:p>
    <w:p w14:paraId="606B9589" w14:textId="77777777" w:rsidR="00992069" w:rsidRPr="00992069" w:rsidRDefault="00992069" w:rsidP="003B27A1">
      <w:pPr>
        <w:jc w:val="both"/>
      </w:pPr>
      <w:r w:rsidRPr="00992069">
        <w:t>-        Paolo                    MADDALENA              </w:t>
      </w:r>
      <w:proofErr w:type="gramStart"/>
      <w:r w:rsidRPr="00992069">
        <w:t>  ”</w:t>
      </w:r>
      <w:proofErr w:type="gramEnd"/>
    </w:p>
    <w:p w14:paraId="1A54853C" w14:textId="77777777" w:rsidR="00992069" w:rsidRPr="00992069" w:rsidRDefault="00992069" w:rsidP="003B27A1">
      <w:pPr>
        <w:jc w:val="both"/>
      </w:pPr>
      <w:r w:rsidRPr="00992069">
        <w:t>-        Alfio                     FINOCCHIARO            </w:t>
      </w:r>
      <w:proofErr w:type="gramStart"/>
      <w:r w:rsidRPr="00992069">
        <w:t>  ”</w:t>
      </w:r>
      <w:proofErr w:type="gramEnd"/>
    </w:p>
    <w:p w14:paraId="378807D1" w14:textId="77777777" w:rsidR="00992069" w:rsidRPr="00992069" w:rsidRDefault="00992069" w:rsidP="003B27A1">
      <w:pPr>
        <w:jc w:val="both"/>
      </w:pPr>
      <w:r w:rsidRPr="00992069">
        <w:t>-        Alfonso                 QUARANTA                 </w:t>
      </w:r>
      <w:proofErr w:type="gramStart"/>
      <w:r w:rsidRPr="00992069">
        <w:t>  ”</w:t>
      </w:r>
      <w:proofErr w:type="gramEnd"/>
    </w:p>
    <w:p w14:paraId="78A0BF87" w14:textId="77777777" w:rsidR="00992069" w:rsidRPr="00992069" w:rsidRDefault="00992069" w:rsidP="003B27A1">
      <w:pPr>
        <w:jc w:val="both"/>
      </w:pPr>
      <w:r w:rsidRPr="00992069">
        <w:t>-        Franco                  GALLO                        </w:t>
      </w:r>
      <w:proofErr w:type="gramStart"/>
      <w:r w:rsidRPr="00992069">
        <w:t>  ”</w:t>
      </w:r>
      <w:proofErr w:type="gramEnd"/>
    </w:p>
    <w:p w14:paraId="49E09FBE" w14:textId="77777777" w:rsidR="00992069" w:rsidRPr="00992069" w:rsidRDefault="00992069" w:rsidP="003B27A1">
      <w:pPr>
        <w:jc w:val="both"/>
      </w:pPr>
      <w:r w:rsidRPr="00992069">
        <w:t>-        Luigi                     MAZZELLA                  </w:t>
      </w:r>
      <w:proofErr w:type="gramStart"/>
      <w:r w:rsidRPr="00992069">
        <w:t>  ”</w:t>
      </w:r>
      <w:proofErr w:type="gramEnd"/>
    </w:p>
    <w:p w14:paraId="495D260C" w14:textId="77777777" w:rsidR="00992069" w:rsidRPr="00992069" w:rsidRDefault="00992069" w:rsidP="003B27A1">
      <w:pPr>
        <w:jc w:val="both"/>
      </w:pPr>
      <w:r w:rsidRPr="00992069">
        <w:t>-        Gaetano                 SILVESTRI                   </w:t>
      </w:r>
      <w:proofErr w:type="gramStart"/>
      <w:r w:rsidRPr="00992069">
        <w:t>  ”</w:t>
      </w:r>
      <w:proofErr w:type="gramEnd"/>
    </w:p>
    <w:p w14:paraId="15897507" w14:textId="77777777" w:rsidR="00992069" w:rsidRPr="00992069" w:rsidRDefault="00992069" w:rsidP="003B27A1">
      <w:pPr>
        <w:jc w:val="both"/>
      </w:pPr>
      <w:r w:rsidRPr="00992069">
        <w:t>-        Sabino                   CASSESE                     </w:t>
      </w:r>
      <w:proofErr w:type="gramStart"/>
      <w:r w:rsidRPr="00992069">
        <w:t>  ”</w:t>
      </w:r>
      <w:proofErr w:type="gramEnd"/>
    </w:p>
    <w:p w14:paraId="555B38C7" w14:textId="77777777" w:rsidR="00992069" w:rsidRPr="00992069" w:rsidRDefault="00992069" w:rsidP="003B27A1">
      <w:pPr>
        <w:jc w:val="both"/>
      </w:pPr>
      <w:r w:rsidRPr="00992069">
        <w:t>-        Maria Rita             SAULLE                       </w:t>
      </w:r>
      <w:proofErr w:type="gramStart"/>
      <w:r w:rsidRPr="00992069">
        <w:t>  ”</w:t>
      </w:r>
      <w:proofErr w:type="gramEnd"/>
    </w:p>
    <w:p w14:paraId="279DFCB7" w14:textId="77777777" w:rsidR="00992069" w:rsidRPr="00992069" w:rsidRDefault="00992069" w:rsidP="003B27A1">
      <w:pPr>
        <w:jc w:val="both"/>
      </w:pPr>
      <w:r w:rsidRPr="00992069">
        <w:t>-        Giuseppe               TESAURO                    </w:t>
      </w:r>
      <w:proofErr w:type="gramStart"/>
      <w:r w:rsidRPr="00992069">
        <w:t>  ”</w:t>
      </w:r>
      <w:proofErr w:type="gramEnd"/>
    </w:p>
    <w:p w14:paraId="72F4CAD3" w14:textId="77777777" w:rsidR="00992069" w:rsidRPr="00992069" w:rsidRDefault="00992069" w:rsidP="003B27A1">
      <w:pPr>
        <w:jc w:val="both"/>
      </w:pPr>
      <w:r w:rsidRPr="00992069">
        <w:t>-        Paolo Maria           NAPOLITANO             </w:t>
      </w:r>
      <w:proofErr w:type="gramStart"/>
      <w:r w:rsidRPr="00992069">
        <w:t>  ”</w:t>
      </w:r>
      <w:proofErr w:type="gramEnd"/>
    </w:p>
    <w:p w14:paraId="3415F265" w14:textId="77777777" w:rsidR="00992069" w:rsidRPr="00992069" w:rsidRDefault="00992069" w:rsidP="003B27A1">
      <w:pPr>
        <w:jc w:val="both"/>
      </w:pPr>
      <w:r w:rsidRPr="00992069">
        <w:t>-        Giuseppe               FRIGO                         </w:t>
      </w:r>
      <w:proofErr w:type="gramStart"/>
      <w:r w:rsidRPr="00992069">
        <w:t>  ”</w:t>
      </w:r>
      <w:proofErr w:type="gramEnd"/>
    </w:p>
    <w:p w14:paraId="4900DC57" w14:textId="77777777" w:rsidR="00992069" w:rsidRPr="00992069" w:rsidRDefault="00992069" w:rsidP="003B27A1">
      <w:pPr>
        <w:jc w:val="both"/>
      </w:pPr>
      <w:r w:rsidRPr="00992069">
        <w:t>-        Alessandro             CRISCUOLO                </w:t>
      </w:r>
      <w:proofErr w:type="gramStart"/>
      <w:r w:rsidRPr="00992069">
        <w:t>  ”</w:t>
      </w:r>
      <w:proofErr w:type="gramEnd"/>
    </w:p>
    <w:p w14:paraId="4111D2AB" w14:textId="77777777" w:rsidR="00992069" w:rsidRPr="00992069" w:rsidRDefault="00992069" w:rsidP="003B27A1">
      <w:pPr>
        <w:jc w:val="both"/>
      </w:pPr>
      <w:r w:rsidRPr="00992069">
        <w:t>-        Paolo                    GROSSI                       </w:t>
      </w:r>
      <w:proofErr w:type="gramStart"/>
      <w:r w:rsidRPr="00992069">
        <w:t>  ”</w:t>
      </w:r>
      <w:proofErr w:type="gramEnd"/>
    </w:p>
    <w:p w14:paraId="63CBB486" w14:textId="77777777" w:rsidR="00992069" w:rsidRPr="00992069" w:rsidRDefault="00992069" w:rsidP="003B27A1">
      <w:pPr>
        <w:jc w:val="both"/>
      </w:pPr>
      <w:r w:rsidRPr="00992069">
        <w:t>ha pronunciato la seguente</w:t>
      </w:r>
    </w:p>
    <w:p w14:paraId="18D960AF" w14:textId="77777777" w:rsidR="00992069" w:rsidRPr="00992069" w:rsidRDefault="00992069" w:rsidP="003B27A1">
      <w:pPr>
        <w:jc w:val="both"/>
      </w:pPr>
      <w:r w:rsidRPr="00992069">
        <w:t>SENTENZA</w:t>
      </w:r>
    </w:p>
    <w:p w14:paraId="4B80E893" w14:textId="77777777" w:rsidR="00992069" w:rsidRPr="00992069" w:rsidRDefault="00992069" w:rsidP="003B27A1">
      <w:pPr>
        <w:jc w:val="both"/>
      </w:pPr>
      <w:r w:rsidRPr="00992069">
        <w:rPr>
          <w:i/>
          <w:iCs/>
        </w:rPr>
        <w:t>Considerato in diritto</w:t>
      </w:r>
    </w:p>
    <w:p w14:paraId="2B67280B" w14:textId="77777777" w:rsidR="00992069" w:rsidRPr="00992069" w:rsidRDefault="00992069" w:rsidP="003B27A1">
      <w:pPr>
        <w:jc w:val="both"/>
      </w:pPr>
      <w:r w:rsidRPr="009E363D">
        <w:rPr>
          <w:b/>
          <w:bCs/>
        </w:rPr>
        <w:t xml:space="preserve">1.— Con distinti ricorsi le Regioni Piemonte (ric. n. 68 e n. 75 del 2008), Emilia-Romagna (ric. n. 69 del 2008), Toscana (ric. n. 74 e n. 91 del 2008), Lazio (ric. n. 81 del 2008), Puglia (ric. n. 83 del 2008), Calabria (ric. n. 93 del 2008), Campania (ric. n. 95 del 2008), Basilicata (ric. n. 96 del 2008), Siciliana (ric. n. 97 del 2008) e Abruzzo (ric. n. 101 del 2008) hanno promosso questioni di legittimità costituzionale di alcune disposizioni del decreto-legge 25 giugno 2008, n. 112 (Disposizioni urgenti per lo sviluppo economico, la semplificazione, la competitività, la stabilizzazione della finanza pubblica e la perequazione tributaria), convertito, con modificazioni, dalla legge 6 agosto 2008, n. </w:t>
      </w:r>
      <w:r w:rsidRPr="009E363D">
        <w:rPr>
          <w:b/>
          <w:bCs/>
        </w:rPr>
        <w:lastRenderedPageBreak/>
        <w:t>133 e ulteriormente modificato dall’art. 3 del decreto-legge 7 ottobre 2008, n. 154 (Disposizioni urgenti per il contenimento della spesa sanitaria e in materia di regolazioni contabili con le autonomie locali), con l’introduzione, tra l’altro, del comma 6-</w:t>
      </w:r>
      <w:r w:rsidRPr="009E363D">
        <w:rPr>
          <w:b/>
          <w:bCs/>
          <w:i/>
          <w:iCs/>
        </w:rPr>
        <w:t>bis </w:t>
      </w:r>
      <w:r w:rsidRPr="009E363D">
        <w:rPr>
          <w:b/>
          <w:bCs/>
        </w:rPr>
        <w:t>nell’art. 64, in riferimento agli artt. 3, 5, 70, 76, 77, 81, 89, 97, 114, 117, 118, 119 e 120 della Costituzione, nonché al principio di leale collaborazione</w:t>
      </w:r>
      <w:r w:rsidRPr="00992069">
        <w:t>.</w:t>
      </w:r>
    </w:p>
    <w:p w14:paraId="15DEEC09" w14:textId="6D930C90" w:rsidR="00C4241E" w:rsidRDefault="00C4241E" w:rsidP="003B27A1">
      <w:pPr>
        <w:jc w:val="both"/>
        <w:rPr>
          <w:b/>
          <w:bCs/>
        </w:rPr>
      </w:pPr>
      <w:r>
        <w:rPr>
          <w:b/>
          <w:bCs/>
        </w:rPr>
        <w:t>[…]</w:t>
      </w:r>
    </w:p>
    <w:p w14:paraId="2041C311" w14:textId="1BF4B560" w:rsidR="00992069" w:rsidRPr="0036566A" w:rsidRDefault="00992069" w:rsidP="003B27A1">
      <w:pPr>
        <w:jc w:val="both"/>
        <w:rPr>
          <w:b/>
          <w:bCs/>
        </w:rPr>
      </w:pPr>
      <w:r w:rsidRPr="0036566A">
        <w:rPr>
          <w:b/>
          <w:bCs/>
        </w:rPr>
        <w:t xml:space="preserve">11.— Le disposizioni impugnate, in primo luogo, prevedono che, al fine di garantire una migliore qualificazione dei servizi scolastici e una piena valorizzazione professionale del personale docente, oltre che per la revisione delle dotazioni organiche del personale amministrativo, tecnico </w:t>
      </w:r>
      <w:proofErr w:type="spellStart"/>
      <w:r w:rsidRPr="0036566A">
        <w:rPr>
          <w:b/>
          <w:bCs/>
        </w:rPr>
        <w:t>ed</w:t>
      </w:r>
      <w:proofErr w:type="spellEnd"/>
      <w:r w:rsidRPr="0036566A">
        <w:rPr>
          <w:b/>
          <w:bCs/>
        </w:rPr>
        <w:t xml:space="preserve"> ausiliario (ATA), il Ministro dell’istruzione, dell’università e della ricerca, di concerto con il Ministro dell’economia e delle finanze, sentita la Conferenza unificata Stato – Regioni città e autonomie locali e previo parere delle Commissioni parlamentari competenti per materia e per le conseguenze di carattere finanziario, deve predisporre, entro quarantacinque giorni dalla data di entrata in vigore dello stesso decreto, </w:t>
      </w:r>
      <w:r w:rsidRPr="004E7645">
        <w:rPr>
          <w:b/>
          <w:bCs/>
          <w:color w:val="EE0000"/>
        </w:rPr>
        <w:t xml:space="preserve">un piano programmatico di interventi </w:t>
      </w:r>
      <w:r w:rsidRPr="0036566A">
        <w:rPr>
          <w:b/>
          <w:bCs/>
        </w:rPr>
        <w:t>volti ad una maggiore razionalizzazione dell’utilizzo delle risorse umane e strumentali disponibili, che conferiscano una maggiore efficacia ed efficienza al sistema scolastico (comma 3).</w:t>
      </w:r>
    </w:p>
    <w:p w14:paraId="5242E251" w14:textId="77777777" w:rsidR="00C4241E" w:rsidRDefault="00992069" w:rsidP="003B27A1">
      <w:pPr>
        <w:jc w:val="both"/>
        <w:rPr>
          <w:b/>
          <w:bCs/>
          <w:u w:val="single"/>
        </w:rPr>
      </w:pPr>
      <w:r w:rsidRPr="0036566A">
        <w:rPr>
          <w:b/>
          <w:bCs/>
        </w:rPr>
        <w:t xml:space="preserve">Il comma 4, nei cui confronti si appuntano, in particolare, le doglianze di tutte le ricorrenti, demanda a </w:t>
      </w:r>
      <w:r w:rsidRPr="0036566A">
        <w:rPr>
          <w:b/>
          <w:bCs/>
          <w:color w:val="EE0000"/>
        </w:rPr>
        <w:t>regolamenti statali</w:t>
      </w:r>
      <w:r w:rsidRPr="0036566A">
        <w:rPr>
          <w:b/>
          <w:bCs/>
        </w:rPr>
        <w:t xml:space="preserve">, che dovranno attenersi ai criteri ivi indicati, </w:t>
      </w:r>
      <w:r w:rsidRPr="0036566A">
        <w:rPr>
          <w:b/>
          <w:bCs/>
          <w:u w:val="single"/>
        </w:rPr>
        <w:t>l’attuazione del suddetto piano.</w:t>
      </w:r>
    </w:p>
    <w:p w14:paraId="3E051E27" w14:textId="5BC26367" w:rsidR="00C4241E" w:rsidRDefault="00C4241E" w:rsidP="003B27A1">
      <w:pPr>
        <w:jc w:val="both"/>
        <w:rPr>
          <w:b/>
          <w:bCs/>
          <w:u w:val="single"/>
        </w:rPr>
      </w:pPr>
      <w:r>
        <w:rPr>
          <w:b/>
          <w:bCs/>
          <w:u w:val="single"/>
        </w:rPr>
        <w:t>[…]</w:t>
      </w:r>
    </w:p>
    <w:p w14:paraId="3F0D620B" w14:textId="6AF116D0" w:rsidR="00992069" w:rsidRPr="00C4241E" w:rsidRDefault="00992069" w:rsidP="003B27A1">
      <w:pPr>
        <w:jc w:val="both"/>
        <w:rPr>
          <w:b/>
          <w:bCs/>
          <w:u w:val="single"/>
        </w:rPr>
      </w:pPr>
      <w:r w:rsidRPr="00BD6F0D">
        <w:rPr>
          <w:b/>
          <w:bCs/>
        </w:rPr>
        <w:t>23.— Emerge, dunque, da quanto sin qui precisato che, come ha posto in evidenza la citata </w:t>
      </w:r>
      <w:hyperlink r:id="rId4" w:history="1">
        <w:r w:rsidRPr="00BD6F0D">
          <w:rPr>
            <w:rStyle w:val="Collegamentoipertestuale"/>
            <w:b/>
            <w:bCs/>
          </w:rPr>
          <w:t>sentenza di questa Corte n. 13 del 2004</w:t>
        </w:r>
      </w:hyperlink>
      <w:r w:rsidRPr="00BD6F0D">
        <w:rPr>
          <w:b/>
          <w:bCs/>
        </w:rPr>
        <w:t>, nella materia dell’istruzione si intrecciano «norme generali, princípi fondamentali, leggi regionali», oltre che «determinazioni autonome delle istituzioni scolastiche».</w:t>
      </w:r>
    </w:p>
    <w:p w14:paraId="13C74BB1" w14:textId="5C39FC70" w:rsidR="00C4241E" w:rsidRDefault="00C4241E" w:rsidP="003B27A1">
      <w:pPr>
        <w:jc w:val="both"/>
        <w:rPr>
          <w:b/>
          <w:bCs/>
        </w:rPr>
      </w:pPr>
      <w:r>
        <w:rPr>
          <w:b/>
          <w:bCs/>
        </w:rPr>
        <w:t>[…]</w:t>
      </w:r>
    </w:p>
    <w:p w14:paraId="55F09667" w14:textId="4B6C4607" w:rsidR="00992069" w:rsidRPr="00BD6F0D" w:rsidRDefault="00992069" w:rsidP="003B27A1">
      <w:pPr>
        <w:jc w:val="both"/>
        <w:rPr>
          <w:b/>
          <w:bCs/>
        </w:rPr>
      </w:pPr>
      <w:r w:rsidRPr="00BD6F0D">
        <w:rPr>
          <w:b/>
          <w:bCs/>
        </w:rPr>
        <w:t xml:space="preserve">È bene aggiungere, ma il punto verrà ripreso nel prosieguo, che le disposizioni contenenti </w:t>
      </w:r>
      <w:r w:rsidRPr="004E7645">
        <w:rPr>
          <w:b/>
          <w:bCs/>
          <w:color w:val="EE0000"/>
        </w:rPr>
        <w:t>norme generali sull’istruzione</w:t>
      </w:r>
      <w:r w:rsidRPr="00BD6F0D">
        <w:rPr>
          <w:b/>
          <w:bCs/>
        </w:rPr>
        <w:t xml:space="preserve"> possono legittimamente prevedere l’emanazione di </w:t>
      </w:r>
      <w:r w:rsidRPr="00BD6F0D">
        <w:rPr>
          <w:b/>
          <w:bCs/>
          <w:color w:val="EE0000"/>
        </w:rPr>
        <w:t xml:space="preserve">regolamenti statali </w:t>
      </w:r>
      <w:r w:rsidRPr="00BD6F0D">
        <w:rPr>
          <w:b/>
          <w:bCs/>
        </w:rPr>
        <w:t xml:space="preserve">proprio perché adottati nell’ambito di una </w:t>
      </w:r>
      <w:r w:rsidRPr="004E7645">
        <w:rPr>
          <w:b/>
          <w:bCs/>
          <w:color w:val="EE0000"/>
        </w:rPr>
        <w:t>competenza legislativa esclusiva dello Stato</w:t>
      </w:r>
      <w:r w:rsidRPr="00BD6F0D">
        <w:rPr>
          <w:b/>
          <w:bCs/>
        </w:rPr>
        <w:t>, in conformità a quanto espressamente previsto dall’art. 117, sesto comma, Cost.</w:t>
      </w:r>
    </w:p>
    <w:p w14:paraId="1AF07B46" w14:textId="275CB7AB" w:rsidR="00C4241E" w:rsidRDefault="00C4241E" w:rsidP="003B27A1">
      <w:pPr>
        <w:jc w:val="both"/>
        <w:rPr>
          <w:b/>
          <w:bCs/>
        </w:rPr>
      </w:pPr>
      <w:r>
        <w:rPr>
          <w:b/>
          <w:bCs/>
        </w:rPr>
        <w:t>[…]</w:t>
      </w:r>
    </w:p>
    <w:p w14:paraId="102E0862" w14:textId="75495E4A" w:rsidR="00C4241E" w:rsidRPr="00C4241E" w:rsidRDefault="00C4241E" w:rsidP="003B27A1">
      <w:pPr>
        <w:jc w:val="both"/>
        <w:rPr>
          <w:b/>
          <w:bCs/>
          <w:i/>
          <w:iCs/>
          <w:color w:val="EE0000"/>
        </w:rPr>
      </w:pPr>
      <w:r w:rsidRPr="00C4241E">
        <w:rPr>
          <w:b/>
          <w:bCs/>
          <w:i/>
          <w:iCs/>
          <w:color w:val="EE0000"/>
        </w:rPr>
        <w:t xml:space="preserve">N.B. per la Corte costituzionale, questi regolamenti ricadono nella competenza esclusiva dello Stato “norme generali sull’istruzione”. </w:t>
      </w:r>
    </w:p>
    <w:p w14:paraId="774AEF2C" w14:textId="2AFEE899" w:rsidR="00992069" w:rsidRPr="004E20F8" w:rsidRDefault="00992069" w:rsidP="003B27A1">
      <w:pPr>
        <w:jc w:val="both"/>
        <w:rPr>
          <w:b/>
          <w:bCs/>
        </w:rPr>
      </w:pPr>
      <w:r w:rsidRPr="004E20F8">
        <w:rPr>
          <w:b/>
          <w:bCs/>
        </w:rPr>
        <w:t>35.2.— Con riguardo, invece, alla potestà regolamentare, il legislatore ha fatto espresso riferimento ai regolamenti di delegificazione contemplati nel comma 2 dell’art. 17 della legge n. 400 del 1998.</w:t>
      </w:r>
    </w:p>
    <w:p w14:paraId="10C66E0A" w14:textId="1AB33CCA" w:rsidR="00992069" w:rsidRPr="004E20F8" w:rsidRDefault="00992069" w:rsidP="003B27A1">
      <w:pPr>
        <w:jc w:val="both"/>
        <w:rPr>
          <w:b/>
          <w:bCs/>
        </w:rPr>
      </w:pPr>
      <w:r w:rsidRPr="004E20F8">
        <w:rPr>
          <w:b/>
          <w:bCs/>
        </w:rPr>
        <w:t xml:space="preserve">Sul punto, è bene chiarire che il sesto comma dell’art. 117 Cost., da un lato, autorizza il legislatore statale, come già sottolineato, ad esercitare la potestà regolamentare in tutte le materie di legislazione esclusiva dello Stato; dall’altro, </w:t>
      </w:r>
      <w:r w:rsidRPr="00EB3A16">
        <w:rPr>
          <w:b/>
          <w:bCs/>
          <w:u w:val="single"/>
        </w:rPr>
        <w:t>non pone limitazioni</w:t>
      </w:r>
      <w:r w:rsidRPr="004E20F8">
        <w:rPr>
          <w:b/>
          <w:bCs/>
        </w:rPr>
        <w:t xml:space="preserve">, in linea con la sua funzione di norma di riparto delle competenze, </w:t>
      </w:r>
      <w:r w:rsidRPr="00EB3A16">
        <w:rPr>
          <w:b/>
          <w:bCs/>
          <w:u w:val="single"/>
        </w:rPr>
        <w:t>in ordine alla tipologia di atto regolamentare emanabile</w:t>
      </w:r>
      <w:r w:rsidRPr="004E20F8">
        <w:rPr>
          <w:b/>
          <w:bCs/>
        </w:rPr>
        <w:t xml:space="preserve">. Ne consegue che risulta conforme al sistema delle fonti la previsione di regolamenti di delegificazione anche in presenza dell’ambito materiale in esame. Deve, anzi, ritenersi che le "norme generali sull’istruzione” - essendo fonti di regolazione di fattispecie relative alla struttura essenziale del sistema scolastico nazionale - si prestano a ricevere "attuazione” anche mediante l’emanazione di atti regolamentari di delegificazione, purché in concreto vengano rispettati il </w:t>
      </w:r>
      <w:r w:rsidRPr="00EB3A16">
        <w:rPr>
          <w:b/>
          <w:bCs/>
          <w:u w:val="single"/>
        </w:rPr>
        <w:t>principio di legalità sostanziale</w:t>
      </w:r>
      <w:r w:rsidRPr="004E20F8">
        <w:rPr>
          <w:b/>
          <w:bCs/>
        </w:rPr>
        <w:t xml:space="preserve"> e quello di </w:t>
      </w:r>
      <w:r w:rsidRPr="00EB3A16">
        <w:rPr>
          <w:b/>
          <w:bCs/>
          <w:u w:val="single"/>
        </w:rPr>
        <w:t>separazione delle competenze</w:t>
      </w:r>
      <w:r w:rsidRPr="004E20F8">
        <w:rPr>
          <w:b/>
          <w:bCs/>
        </w:rPr>
        <w:t>.</w:t>
      </w:r>
      <w:r w:rsidR="00EB3A16">
        <w:rPr>
          <w:b/>
          <w:bCs/>
        </w:rPr>
        <w:t xml:space="preserve"> </w:t>
      </w:r>
    </w:p>
    <w:p w14:paraId="27781D46" w14:textId="77777777" w:rsidR="00992069" w:rsidRPr="00C4241E" w:rsidRDefault="00992069" w:rsidP="003B27A1">
      <w:pPr>
        <w:jc w:val="both"/>
        <w:rPr>
          <w:b/>
          <w:bCs/>
        </w:rPr>
      </w:pPr>
      <w:r w:rsidRPr="00C4241E">
        <w:rPr>
          <w:b/>
          <w:bCs/>
        </w:rPr>
        <w:t>Tali principi nella specie sono stati rispettati, in quanto il legislatore statale ha posto una disciplina in linea con il modello di delegificazione prefigurato dal citato art. 17, comma 2.</w:t>
      </w:r>
    </w:p>
    <w:p w14:paraId="4607BD47" w14:textId="77777777" w:rsidR="00992069" w:rsidRPr="00C4241E" w:rsidRDefault="00992069" w:rsidP="003B27A1">
      <w:pPr>
        <w:jc w:val="both"/>
        <w:rPr>
          <w:b/>
          <w:bCs/>
        </w:rPr>
      </w:pPr>
      <w:r w:rsidRPr="00C4241E">
        <w:rPr>
          <w:b/>
          <w:bCs/>
        </w:rPr>
        <w:t xml:space="preserve">Infatti, deve rilevarsi come la normativa in esame abbia, in primo luogo, </w:t>
      </w:r>
      <w:r w:rsidRPr="00C4241E">
        <w:rPr>
          <w:b/>
          <w:bCs/>
          <w:color w:val="EE0000"/>
        </w:rPr>
        <w:t xml:space="preserve">autorizzato l’emanazione di atti normativi secondari </w:t>
      </w:r>
      <w:r w:rsidRPr="00C4241E">
        <w:rPr>
          <w:b/>
          <w:bCs/>
        </w:rPr>
        <w:t>delegati in una materia che non è coperta da riserva assoluta di legge.</w:t>
      </w:r>
    </w:p>
    <w:p w14:paraId="31F52522" w14:textId="77777777" w:rsidR="00992069" w:rsidRPr="00C4241E" w:rsidRDefault="00992069" w:rsidP="003B27A1">
      <w:pPr>
        <w:jc w:val="both"/>
        <w:rPr>
          <w:b/>
          <w:bCs/>
        </w:rPr>
      </w:pPr>
      <w:r w:rsidRPr="00C4241E">
        <w:rPr>
          <w:b/>
          <w:bCs/>
        </w:rPr>
        <w:t>In secondo luogo, la disposizione censurata, contenendo «</w:t>
      </w:r>
      <w:r w:rsidRPr="00C4241E">
        <w:rPr>
          <w:b/>
          <w:bCs/>
          <w:color w:val="EE0000"/>
        </w:rPr>
        <w:t>norme generali regolatrici della materia</w:t>
      </w:r>
      <w:r w:rsidRPr="00C4241E">
        <w:rPr>
          <w:b/>
          <w:bCs/>
        </w:rPr>
        <w:t xml:space="preserve">», cui fa riferimento il citato art. 17, rispetta il richiamato </w:t>
      </w:r>
      <w:r w:rsidRPr="00534490">
        <w:rPr>
          <w:b/>
          <w:bCs/>
          <w:color w:val="EE0000"/>
        </w:rPr>
        <w:t>principio di legalità sostanziale</w:t>
      </w:r>
      <w:r w:rsidRPr="00C4241E">
        <w:rPr>
          <w:b/>
          <w:bCs/>
        </w:rPr>
        <w:t xml:space="preserve">. In particolare, a tale proposito, il legislatore - nello stabilire che, mediante lo strumento dei regolamenti di delegificazione, si debba provvedere ad una revisione dell’attuale assetto ordinamentale, organizzativo e didattico del sistema scolastico, da intendersi riferito, come già rilevato, alle sole modifiche relative alle caratteristiche generali del sistema nazionale dell’istruzione - ha provveduto ad una </w:t>
      </w:r>
      <w:r w:rsidRPr="00534490">
        <w:rPr>
          <w:b/>
          <w:bCs/>
          <w:color w:val="EE0000"/>
        </w:rPr>
        <w:t xml:space="preserve">predeterminazione contenutistica puntuale dei «criteri» </w:t>
      </w:r>
      <w:r w:rsidRPr="00C4241E">
        <w:rPr>
          <w:b/>
          <w:bCs/>
        </w:rPr>
        <w:t xml:space="preserve">cui deve rigorosamente attenersi il Governo nell’esercizio della potestà regolamentare delegata. La chiara delimitazione dei settori di materia, dei presupposti e delle condizioni cui sono strettamente vincolati ad attenersi i regolamenti in questione consente, pertanto, di ritenere che le disposizioni risultanti dalla concorrenza delle </w:t>
      </w:r>
      <w:proofErr w:type="gramStart"/>
      <w:r w:rsidRPr="00C4241E">
        <w:rPr>
          <w:b/>
          <w:bCs/>
        </w:rPr>
        <w:t>predette</w:t>
      </w:r>
      <w:proofErr w:type="gramEnd"/>
      <w:r w:rsidRPr="00C4241E">
        <w:rPr>
          <w:b/>
          <w:bCs/>
        </w:rPr>
        <w:t xml:space="preserve"> fonti, nel loro combinato disposto, possono essere ascritte alla categoria delle norme generali.</w:t>
      </w:r>
    </w:p>
    <w:p w14:paraId="249E691D" w14:textId="77777777" w:rsidR="00992069" w:rsidRPr="00534490" w:rsidRDefault="00992069" w:rsidP="003B27A1">
      <w:pPr>
        <w:jc w:val="both"/>
        <w:rPr>
          <w:b/>
          <w:bCs/>
          <w:color w:val="EE0000"/>
        </w:rPr>
      </w:pPr>
      <w:r w:rsidRPr="00534490">
        <w:rPr>
          <w:b/>
          <w:bCs/>
        </w:rPr>
        <w:t xml:space="preserve">Inoltre, in linea con quanto prescritto dall’art. 17, comma 2, l’effetto modificativo delle «disposizioni vigenti» in materia è, secondo ben noti principi generali, </w:t>
      </w:r>
      <w:r w:rsidRPr="00534490">
        <w:rPr>
          <w:b/>
          <w:bCs/>
          <w:color w:val="EE0000"/>
        </w:rPr>
        <w:t>riconducibile alla fonte primaria</w:t>
      </w:r>
      <w:r w:rsidRPr="00534490">
        <w:rPr>
          <w:b/>
          <w:bCs/>
        </w:rPr>
        <w:t xml:space="preserve">, con la peculiarità, insita nel sistema della delegificazione, che tale modificazione sarà concretamente operativa </w:t>
      </w:r>
      <w:r w:rsidRPr="00534490">
        <w:rPr>
          <w:b/>
          <w:bCs/>
          <w:color w:val="EE0000"/>
        </w:rPr>
        <w:t>soltanto al momento dell’effettiva vigenza dell’atto regolamentare</w:t>
      </w:r>
      <w:r w:rsidRPr="00992069">
        <w:t xml:space="preserve">. </w:t>
      </w:r>
      <w:r w:rsidRPr="00534490">
        <w:rPr>
          <w:b/>
          <w:bCs/>
        </w:rPr>
        <w:t xml:space="preserve">Né varrebbe, nella specie, rilevare che il richiamo generico alle «disposizioni legislative vigenti» finisce per assegnare di fatto al regolamento un potere di individuazione degli atti, anche primari, da modificare non ammissibile alla luce del richiamato principio di legalità. Infatti, nella specie, la puntuale indicazione dei criteri che vincolano l’esercizio del potere regolamentare, unitamente alla delimitazione degli ambiti settoriali di intervento autorizzati, consente di ritenere che il legislatore statale </w:t>
      </w:r>
      <w:r w:rsidRPr="00534490">
        <w:rPr>
          <w:b/>
          <w:bCs/>
          <w:color w:val="EE0000"/>
        </w:rPr>
        <w:t>abbia individuato il complesso delle fonti di regolazione di cui si prevede la possibile modificazione.</w:t>
      </w:r>
    </w:p>
    <w:p w14:paraId="6C333641" w14:textId="77777777" w:rsidR="00992069" w:rsidRPr="00534490" w:rsidRDefault="00992069" w:rsidP="003B27A1">
      <w:pPr>
        <w:jc w:val="both"/>
        <w:rPr>
          <w:b/>
          <w:bCs/>
        </w:rPr>
      </w:pPr>
      <w:r w:rsidRPr="00534490">
        <w:rPr>
          <w:b/>
          <w:bCs/>
        </w:rPr>
        <w:t>Infine, è necessario puntualizzare che il comma in esame, nella parte in cui consente l’intervento di modifica delle «disposizioni vigenti», si riferisce ovviamente – in ragione dell’ambito materiale che viene in esame e in ossequio al principio della separazione delle fonti che non permette, tra l’altro, l’incidenza di una fonte secondaria in ambiti che la Costituzione attribuisce alla competenza di fonti regionali (da ultimo, </w:t>
      </w:r>
      <w:hyperlink r:id="rId5" w:history="1">
        <w:r w:rsidRPr="00534490">
          <w:rPr>
            <w:rStyle w:val="Collegamentoipertestuale"/>
            <w:b/>
            <w:bCs/>
          </w:rPr>
          <w:t>sentenza n. 401 del 2007</w:t>
        </w:r>
      </w:hyperlink>
      <w:r w:rsidRPr="00534490">
        <w:rPr>
          <w:b/>
          <w:bCs/>
        </w:rPr>
        <w:t xml:space="preserve">) – </w:t>
      </w:r>
      <w:r w:rsidRPr="00534490">
        <w:rPr>
          <w:b/>
          <w:bCs/>
          <w:color w:val="EE0000"/>
        </w:rPr>
        <w:t xml:space="preserve">a disposizioni "statali” </w:t>
      </w:r>
      <w:r w:rsidRPr="00534490">
        <w:rPr>
          <w:b/>
          <w:bCs/>
        </w:rPr>
        <w:t>e non anche a quelle eventualmente emanate dalle singole Regioni.</w:t>
      </w:r>
    </w:p>
    <w:p w14:paraId="03B548B6" w14:textId="77777777" w:rsidR="00992069" w:rsidRPr="00534490" w:rsidRDefault="00992069" w:rsidP="003B27A1">
      <w:pPr>
        <w:jc w:val="both"/>
        <w:rPr>
          <w:b/>
          <w:bCs/>
        </w:rPr>
      </w:pPr>
      <w:r w:rsidRPr="00534490">
        <w:rPr>
          <w:b/>
          <w:bCs/>
        </w:rPr>
        <w:t>Rimane comunque fermo – è bene precisare – il controllo di legittimità dell’esercizio del potere regolamentare innanzi alle competenti sedi giudiziarie ed eventualmente, ricorrendone i necessari presupposti, anche innanzi a questa Corte mediante ricorso per conflitto di attribuzione.</w:t>
      </w:r>
    </w:p>
    <w:p w14:paraId="63AF69BE" w14:textId="721D644D" w:rsidR="00F36E3A" w:rsidRDefault="00F36E3A" w:rsidP="003B27A1">
      <w:pPr>
        <w:jc w:val="both"/>
        <w:rPr>
          <w:b/>
          <w:bCs/>
        </w:rPr>
      </w:pPr>
      <w:r>
        <w:rPr>
          <w:b/>
          <w:bCs/>
        </w:rPr>
        <w:t>[…]</w:t>
      </w:r>
    </w:p>
    <w:p w14:paraId="7FBED43B" w14:textId="1297C6B9" w:rsidR="00992069" w:rsidRPr="00F36E3A" w:rsidRDefault="00992069" w:rsidP="003B27A1">
      <w:pPr>
        <w:jc w:val="both"/>
        <w:rPr>
          <w:b/>
          <w:bCs/>
        </w:rPr>
      </w:pPr>
      <w:r w:rsidRPr="00F36E3A">
        <w:rPr>
          <w:b/>
          <w:bCs/>
        </w:rPr>
        <w:t xml:space="preserve">38.— A diversa conclusione deve, invece, pervenirsi per quanto concerne le disposizioni (aggiunte in sede di conversione) contenute nelle lettere f-bis) ed f-ter) del medesimo comma 4, attesa la loro diretta incidenza su </w:t>
      </w:r>
      <w:r w:rsidRPr="004E7645">
        <w:rPr>
          <w:b/>
          <w:bCs/>
          <w:color w:val="EE0000"/>
        </w:rPr>
        <w:t>ambiti di specifica competenza regionale</w:t>
      </w:r>
      <w:r w:rsidRPr="00F36E3A">
        <w:rPr>
          <w:b/>
          <w:bCs/>
        </w:rPr>
        <w:t>.</w:t>
      </w:r>
    </w:p>
    <w:p w14:paraId="56E0CC59" w14:textId="77777777" w:rsidR="00992069" w:rsidRPr="00F36E3A" w:rsidRDefault="00992069" w:rsidP="003B27A1">
      <w:pPr>
        <w:jc w:val="both"/>
        <w:rPr>
          <w:b/>
          <w:bCs/>
        </w:rPr>
      </w:pPr>
      <w:r w:rsidRPr="00F36E3A">
        <w:rPr>
          <w:b/>
          <w:bCs/>
        </w:rPr>
        <w:t xml:space="preserve">38.1— Quanto, infatti, alla lettera f-bis), è pure vero che essa prevede che, con atto regolamentare, si dovrà provvedere alla «definizione di criteri, tempi e modalità per la determinazione e l’articolazione dell’azione di ridimensionamento della rete scolastica»; tuttavia, agli effetti del riparto di competenza legislativa tra lo Stato e le Regioni, ciò che rileva è il riferimento al dimensionamento della rete delle istituzioni scolastiche, vale a dire ad un ambito che deve ritenersi di </w:t>
      </w:r>
      <w:r w:rsidRPr="004E7645">
        <w:rPr>
          <w:b/>
          <w:bCs/>
          <w:color w:val="EE0000"/>
        </w:rPr>
        <w:t>spettanza regionale</w:t>
      </w:r>
      <w:r w:rsidRPr="00F36E3A">
        <w:rPr>
          <w:b/>
          <w:bCs/>
        </w:rPr>
        <w:t>.</w:t>
      </w:r>
    </w:p>
    <w:p w14:paraId="0DC90E90" w14:textId="4A27CD8B" w:rsidR="00992069" w:rsidRPr="00F36E3A" w:rsidRDefault="00F36E3A" w:rsidP="00F36E3A">
      <w:pPr>
        <w:jc w:val="both"/>
        <w:rPr>
          <w:b/>
          <w:bCs/>
        </w:rPr>
      </w:pPr>
      <w:r w:rsidRPr="00F36E3A">
        <w:rPr>
          <w:b/>
          <w:bCs/>
        </w:rPr>
        <w:t>[…]</w:t>
      </w:r>
    </w:p>
    <w:p w14:paraId="754072C4" w14:textId="77777777" w:rsidR="00992069" w:rsidRPr="00F36E3A" w:rsidRDefault="00992069" w:rsidP="003B27A1">
      <w:pPr>
        <w:jc w:val="both"/>
        <w:rPr>
          <w:b/>
          <w:bCs/>
        </w:rPr>
      </w:pPr>
      <w:r w:rsidRPr="00F36E3A">
        <w:rPr>
          <w:b/>
          <w:bCs/>
        </w:rPr>
        <w:t>La sussistenza di un ambito materiale di competenza concorrente comporta che non è consentita, ai sensi del sesto comma dell’art. 117 della Costituzione che attua il principio di separazione delle competenze, l’emanazione di atti regolamentari.</w:t>
      </w:r>
    </w:p>
    <w:p w14:paraId="0352F079" w14:textId="0FFDB1B9" w:rsidR="00F36E3A" w:rsidRDefault="00F36E3A" w:rsidP="003B27A1">
      <w:pPr>
        <w:jc w:val="both"/>
      </w:pPr>
      <w:r>
        <w:t>[…]</w:t>
      </w:r>
    </w:p>
    <w:p w14:paraId="34EB96C6" w14:textId="74051DBE" w:rsidR="00992069" w:rsidRPr="00992069" w:rsidRDefault="00992069" w:rsidP="003B27A1">
      <w:pPr>
        <w:jc w:val="both"/>
      </w:pPr>
      <w:r w:rsidRPr="00992069">
        <w:t>per questi motivi</w:t>
      </w:r>
    </w:p>
    <w:p w14:paraId="4D03FEF9" w14:textId="77777777" w:rsidR="00992069" w:rsidRPr="00992069" w:rsidRDefault="00992069" w:rsidP="003B27A1">
      <w:pPr>
        <w:jc w:val="both"/>
      </w:pPr>
      <w:r w:rsidRPr="00992069">
        <w:t>LA CORTE COSTITUZIONALE</w:t>
      </w:r>
    </w:p>
    <w:p w14:paraId="2D597684" w14:textId="77777777" w:rsidR="00992069" w:rsidRPr="00992069" w:rsidRDefault="00992069" w:rsidP="003B27A1">
      <w:pPr>
        <w:jc w:val="both"/>
      </w:pPr>
      <w:r w:rsidRPr="00992069">
        <w:t>riuniti i giudizi,</w:t>
      </w:r>
    </w:p>
    <w:p w14:paraId="5C247A8C" w14:textId="77777777" w:rsidR="00992069" w:rsidRPr="00992069" w:rsidRDefault="00992069" w:rsidP="003B27A1">
      <w:pPr>
        <w:jc w:val="both"/>
      </w:pPr>
      <w:r w:rsidRPr="00992069">
        <w:t>riservate a separate decisioni le restanti questioni di legittimità costituzionale sollevate con i ricorsi indicati in epigrafe;</w:t>
      </w:r>
    </w:p>
    <w:p w14:paraId="7E7E2978" w14:textId="77777777" w:rsidR="00992069" w:rsidRPr="00992069" w:rsidRDefault="00992069" w:rsidP="003B27A1">
      <w:pPr>
        <w:jc w:val="both"/>
      </w:pPr>
      <w:r w:rsidRPr="00992069">
        <w:t>1) </w:t>
      </w:r>
      <w:r w:rsidRPr="00992069">
        <w:rPr>
          <w:i/>
          <w:iCs/>
        </w:rPr>
        <w:t>dichiara</w:t>
      </w:r>
      <w:r w:rsidRPr="00992069">
        <w:t> l’illegittimità costituzionale dell’art. 64, comma 4, lettera f-bis) e f-ter) del decreto-legge 25 giugno 2008, n. 112 (Disposizioni urgenti per lo sviluppo economico, la semplificazione, la competitività, la stabilizzazione della finanza pubblica e la perequazione tributaria), come convertito, con modificazioni, dalla legge 6 agosto 2008, n. 133;</w:t>
      </w:r>
    </w:p>
    <w:p w14:paraId="4909CDEA" w14:textId="77777777" w:rsidR="00992069" w:rsidRPr="00992069" w:rsidRDefault="00992069" w:rsidP="003B27A1">
      <w:pPr>
        <w:jc w:val="both"/>
      </w:pPr>
      <w:r w:rsidRPr="00992069">
        <w:t>2) </w:t>
      </w:r>
      <w:r w:rsidRPr="00992069">
        <w:rPr>
          <w:i/>
          <w:iCs/>
        </w:rPr>
        <w:t>dichiara</w:t>
      </w:r>
      <w:r w:rsidRPr="00992069">
        <w:t> inammissibile la questione di legittimità costituzionale dell’art. 64, commi 1 e 2, del citato decreto-legge n. 112 del 2008, come convertito, con modificazioni, dalla legge n. 133 del 2008, promossa, in riferimento agli artt. 117, 118 e 120 Cost., dalla Regione Piemonte con il ricorso di cui in epigrafe (ric. n. 68 del 2008);</w:t>
      </w:r>
    </w:p>
    <w:p w14:paraId="182D6473" w14:textId="77777777" w:rsidR="00992069" w:rsidRPr="00992069" w:rsidRDefault="00992069" w:rsidP="003B27A1">
      <w:pPr>
        <w:jc w:val="both"/>
      </w:pPr>
      <w:r w:rsidRPr="00992069">
        <w:t>3) </w:t>
      </w:r>
      <w:r w:rsidRPr="00992069">
        <w:rPr>
          <w:i/>
          <w:iCs/>
        </w:rPr>
        <w:t>dichiara</w:t>
      </w:r>
      <w:r w:rsidRPr="00992069">
        <w:t> inammissibile la questione di legittimità costituzionale dell’art. 64, commi 3 e 4, del citato decreto-legge n. 112 del 2008, come convertito, con modificazioni, dalla legge n. 133 del 2008, promossa, in riferimento all’art 120 Cost., dalla Regione Piemonte con il ricorso di cui in epigrafe (ric. n. 68 del 2008);</w:t>
      </w:r>
    </w:p>
    <w:p w14:paraId="20734C79" w14:textId="77777777" w:rsidR="00992069" w:rsidRPr="00992069" w:rsidRDefault="00992069" w:rsidP="003B27A1">
      <w:pPr>
        <w:jc w:val="both"/>
      </w:pPr>
      <w:r w:rsidRPr="00992069">
        <w:t>4) </w:t>
      </w:r>
      <w:r w:rsidRPr="00992069">
        <w:rPr>
          <w:i/>
          <w:iCs/>
        </w:rPr>
        <w:t>dichiara</w:t>
      </w:r>
      <w:r w:rsidRPr="00992069">
        <w:t> non fondate le questioni di legittimità costituzionale dell’art. 64, commi 3 e 4, lettere da a) ad f), del citato decreto-legge n. 112 del 2008, come convertito, con modificazioni, dalla legge n. 133 del 2008, promosse, in riferimento agli artt. 117 e 118 Cost., nonché al principio di leale collaborazione, dalle Regioni Piemonte (ric. n. 68 del 2008), Emilia-Romagna, Toscana (ric. n. 74 del 2008), Lazio e Puglia, con i ricorsi di cui in epigrafe;</w:t>
      </w:r>
    </w:p>
    <w:p w14:paraId="02497662" w14:textId="77777777" w:rsidR="00992069" w:rsidRPr="00992069" w:rsidRDefault="00992069" w:rsidP="003B27A1">
      <w:pPr>
        <w:jc w:val="both"/>
      </w:pPr>
      <w:r w:rsidRPr="00992069">
        <w:t>5) </w:t>
      </w:r>
      <w:r w:rsidRPr="00992069">
        <w:rPr>
          <w:i/>
          <w:iCs/>
        </w:rPr>
        <w:t>dichiara</w:t>
      </w:r>
      <w:r w:rsidRPr="00992069">
        <w:t> estinto il giudizio concernente l’art. 64, comma 6-bis, del decreto-legge n. 112 del 2008, come convertito, con modificazioni, dalla legge n. 133 del 2008, introdotto dall’art. 3 del decreto-legge 7 ottobre 2008, n. 154 (Disposizioni urgenti per il contenimento della spesa sanitaria e in materia di regolazioni contabili con le autonomie locali), promosso dalla Regione Abruzzo con il ricorso indicato in epigrafe;</w:t>
      </w:r>
    </w:p>
    <w:p w14:paraId="574F3876" w14:textId="77777777" w:rsidR="00992069" w:rsidRPr="00992069" w:rsidRDefault="00992069" w:rsidP="003B27A1">
      <w:pPr>
        <w:jc w:val="both"/>
      </w:pPr>
      <w:r w:rsidRPr="00992069">
        <w:t>6) </w:t>
      </w:r>
      <w:r w:rsidRPr="00992069">
        <w:rPr>
          <w:i/>
          <w:iCs/>
        </w:rPr>
        <w:t>dichiara</w:t>
      </w:r>
      <w:r w:rsidRPr="00992069">
        <w:t> la cessazione della materia del contendere in ordine alla questione di legittimità costituzionale dell’art. 64, comma 6-bis, del citato decreto-legge n. 112 del 2008, come convertito, con modificazioni, dalla legge n. 133 del 2008, introdotto dall’art. 3 del decreto-legge n. 154 del 2008, promosse, in riferimento, nel complesso, agli artt. 3, 5, 70, 76, 77, primo e secondo comma, 81, terzo comma, 89, primo comma, 97, 117, terzo, quarto e sesto comma, 118, primo e secondo comma, 119, primo e secondo comma, 120 della Costituzione, nonché al principio di leale collaborazione, dalle Regioni Emilia-Romagna, Piemonte (ric. n. 75 del 2008), Toscana (ric. n. 91 del 2008), Calabria, Campania e Basilicata, con i ricorsi indicati in epigrafe;</w:t>
      </w:r>
    </w:p>
    <w:p w14:paraId="1535DCD1" w14:textId="77777777" w:rsidR="00992069" w:rsidRPr="00992069" w:rsidRDefault="00992069" w:rsidP="003B27A1">
      <w:pPr>
        <w:jc w:val="both"/>
      </w:pPr>
      <w:r w:rsidRPr="00992069">
        <w:t>7) </w:t>
      </w:r>
      <w:r w:rsidRPr="00992069">
        <w:rPr>
          <w:i/>
          <w:iCs/>
        </w:rPr>
        <w:t>dichiara</w:t>
      </w:r>
      <w:r w:rsidRPr="00992069">
        <w:t> la cessazione della materia del contendere in ordine alla questione di legittimità costituzionale dell’art. 64, comma 6-bis, del citato decreto-legge n. 112 del 2008, convertito, con modificazioni, dalla legge n. 133 del 2008, introdotto dall’art. 3 del decreto-legge n. 154 del 2008, nonché dell’art. 4 del decreto-legge 1° settembre 2008, n. 137 (Disposizioni urgenti in materia di istruzione e università), come convertito, con modificazioni, dalla legge 30 ottobre 2008, n. 169, promossa dalla Regione Siciliana, in riferimento agli artt. 14, lettera r) e 17, lettera d), del decreto legislativo 15 maggio 1946, n. 455 (Approvazione dello Statuto della Regione siciliana), agli artt. 1, 4 e 6 del decreto del Presidente della Repubblica 14 maggio 1985, n. 246 (Norme di attuazione dello Statuto della Regione siciliana in materia di pubblica istruzione), all’art. 117, terzo comma, 118 e 120, secondo comma, Cost., con riguardo all’art. 10 della legge costituzionale 18 ottobre 2001, n. 3 (Modifiche al titolo V della parte seconda della Costituzione), nonché ai princípi di ragionevolezza, di buon andamento dell’attività amministrativa e di leale collaborazione, con il ricorso di cui in epigrafe.</w:t>
      </w:r>
    </w:p>
    <w:p w14:paraId="4E64EF27" w14:textId="77777777" w:rsidR="00992069" w:rsidRPr="00992069" w:rsidRDefault="00992069" w:rsidP="003B27A1">
      <w:pPr>
        <w:jc w:val="both"/>
      </w:pPr>
      <w:r w:rsidRPr="00992069">
        <w:t>Così deciso in Roma, nella sede della Corte costituzionale, Palazzo della Consulta, il 24 giugno 2009.</w:t>
      </w:r>
    </w:p>
    <w:p w14:paraId="113791F9" w14:textId="77777777" w:rsidR="00992069" w:rsidRPr="00992069" w:rsidRDefault="00992069" w:rsidP="003B27A1">
      <w:pPr>
        <w:jc w:val="both"/>
      </w:pPr>
      <w:r w:rsidRPr="00992069">
        <w:t>F.to:</w:t>
      </w:r>
    </w:p>
    <w:p w14:paraId="1BE7B907" w14:textId="77777777" w:rsidR="00992069" w:rsidRPr="00992069" w:rsidRDefault="00992069" w:rsidP="003B27A1">
      <w:pPr>
        <w:jc w:val="both"/>
      </w:pPr>
      <w:r w:rsidRPr="00992069">
        <w:t>Francesco AMIRANTE, Presidente</w:t>
      </w:r>
    </w:p>
    <w:p w14:paraId="23B20488" w14:textId="77777777" w:rsidR="00992069" w:rsidRPr="00992069" w:rsidRDefault="00992069" w:rsidP="003B27A1">
      <w:pPr>
        <w:jc w:val="both"/>
      </w:pPr>
      <w:r w:rsidRPr="00992069">
        <w:t xml:space="preserve">Alfonso </w:t>
      </w:r>
      <w:proofErr w:type="gramStart"/>
      <w:r w:rsidRPr="00992069">
        <w:t>QUARANTA ,</w:t>
      </w:r>
      <w:proofErr w:type="gramEnd"/>
      <w:r w:rsidRPr="00992069">
        <w:t xml:space="preserve"> Redattore</w:t>
      </w:r>
    </w:p>
    <w:p w14:paraId="7F6497B7" w14:textId="77777777" w:rsidR="00992069" w:rsidRPr="00992069" w:rsidRDefault="00992069" w:rsidP="003B27A1">
      <w:pPr>
        <w:jc w:val="both"/>
      </w:pPr>
      <w:r w:rsidRPr="00992069">
        <w:t>Roberto MILANA, Cancelliere</w:t>
      </w:r>
    </w:p>
    <w:p w14:paraId="511D3E2B" w14:textId="77777777" w:rsidR="00992069" w:rsidRPr="00992069" w:rsidRDefault="00992069" w:rsidP="003B27A1">
      <w:pPr>
        <w:jc w:val="both"/>
      </w:pPr>
      <w:r w:rsidRPr="00992069">
        <w:t>Depositata in Cancelleria il 2 luglio 2009</w:t>
      </w:r>
      <w:r w:rsidRPr="00992069">
        <w:rPr>
          <w:u w:val="single"/>
        </w:rPr>
        <w:t>.</w:t>
      </w:r>
    </w:p>
    <w:p w14:paraId="69E6C6AB" w14:textId="77777777" w:rsidR="00992069" w:rsidRPr="00992069" w:rsidRDefault="00992069" w:rsidP="003B27A1">
      <w:pPr>
        <w:jc w:val="both"/>
        <w:rPr>
          <w:b/>
          <w:bCs/>
        </w:rPr>
      </w:pPr>
      <w:r w:rsidRPr="00992069">
        <w:rPr>
          <w:b/>
          <w:bCs/>
        </w:rPr>
        <w:t>CONSULTA ONLINE dal 1995 - </w:t>
      </w:r>
      <w:hyperlink r:id="rId6" w:history="1">
        <w:r w:rsidRPr="00992069">
          <w:rPr>
            <w:rStyle w:val="Collegamentoipertestuale"/>
            <w:b/>
            <w:bCs/>
          </w:rPr>
          <w:t>Note legali</w:t>
        </w:r>
      </w:hyperlink>
    </w:p>
    <w:p w14:paraId="55608029" w14:textId="77777777" w:rsidR="00992069" w:rsidRPr="00992069" w:rsidRDefault="00992069" w:rsidP="003B27A1">
      <w:pPr>
        <w:jc w:val="both"/>
      </w:pPr>
      <w:r w:rsidRPr="00992069">
        <w:t>Consulta OnLine non ha prodotto e non è responsabile per i contenuti e le informazioni legali di siti collegati.</w:t>
      </w:r>
    </w:p>
    <w:p w14:paraId="72219044" w14:textId="77777777" w:rsidR="00992069" w:rsidRPr="00992069" w:rsidRDefault="00992069" w:rsidP="003B27A1">
      <w:pPr>
        <w:jc w:val="both"/>
      </w:pPr>
      <w:r w:rsidRPr="00992069">
        <w:t>La consultazione di questi o del materiale contenuto nel sito non costituisce una relazione di consulenza legale.</w:t>
      </w:r>
    </w:p>
    <w:p w14:paraId="0CA865B6" w14:textId="77777777" w:rsidR="00992069" w:rsidRPr="00992069" w:rsidRDefault="00992069" w:rsidP="003B27A1">
      <w:pPr>
        <w:jc w:val="both"/>
      </w:pPr>
      <w:r w:rsidRPr="00992069">
        <w:t>Nessuno deve confidare o agire in base alle informazioni disponibili in questo sito senza una consulenza legale professionale.</w:t>
      </w:r>
    </w:p>
    <w:p w14:paraId="3352A4E6" w14:textId="77777777" w:rsidR="00992069" w:rsidRPr="00992069" w:rsidRDefault="00992069" w:rsidP="003B27A1">
      <w:pPr>
        <w:jc w:val="both"/>
      </w:pPr>
      <w:hyperlink r:id="rId7" w:history="1">
        <w:r w:rsidRPr="00992069">
          <w:rPr>
            <w:rStyle w:val="Collegamentoipertestuale"/>
          </w:rPr>
          <w:t> info@giurcost.org</w:t>
        </w:r>
      </w:hyperlink>
      <w:r w:rsidRPr="00992069">
        <w:t> | </w:t>
      </w:r>
      <w:hyperlink r:id="rId8" w:tgtFrame="_blank" w:history="1">
        <w:r w:rsidRPr="00992069">
          <w:rPr>
            <w:rStyle w:val="Collegamentoipertestuale"/>
          </w:rPr>
          <w:t> Giurisprudenza Costituzionale</w:t>
        </w:r>
      </w:hyperlink>
      <w:r w:rsidRPr="00992069">
        <w:t> | </w:t>
      </w:r>
      <w:hyperlink r:id="rId9" w:tgtFrame="_blank" w:history="1">
        <w:r w:rsidRPr="00992069">
          <w:rPr>
            <w:rStyle w:val="Collegamentoipertestuale"/>
          </w:rPr>
          <w:t> Consulta OnLine</w:t>
        </w:r>
      </w:hyperlink>
      <w:r w:rsidRPr="00992069">
        <w:t> | </w:t>
      </w:r>
      <w:hyperlink r:id="rId10" w:tgtFrame="_blank" w:history="1">
        <w:r w:rsidRPr="00992069">
          <w:rPr>
            <w:rStyle w:val="Collegamentoipertestuale"/>
          </w:rPr>
          <w:t> @giurcost</w:t>
        </w:r>
      </w:hyperlink>
    </w:p>
    <w:p w14:paraId="193BB087" w14:textId="77777777" w:rsidR="00B50B1F" w:rsidRDefault="00B50B1F" w:rsidP="003B27A1">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0A4C"/>
    <w:rsid w:val="0036566A"/>
    <w:rsid w:val="003B27A1"/>
    <w:rsid w:val="004E20F8"/>
    <w:rsid w:val="004E7645"/>
    <w:rsid w:val="00534490"/>
    <w:rsid w:val="007308FC"/>
    <w:rsid w:val="00785EB6"/>
    <w:rsid w:val="00826819"/>
    <w:rsid w:val="00946AB7"/>
    <w:rsid w:val="00992069"/>
    <w:rsid w:val="009B6C70"/>
    <w:rsid w:val="009E363D"/>
    <w:rsid w:val="00B46E83"/>
    <w:rsid w:val="00B50B1F"/>
    <w:rsid w:val="00BD6F0D"/>
    <w:rsid w:val="00C4241E"/>
    <w:rsid w:val="00E94DF4"/>
    <w:rsid w:val="00EB3A16"/>
    <w:rsid w:val="00EF0A4C"/>
    <w:rsid w:val="00F36E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65FDE"/>
  <w15:chartTrackingRefBased/>
  <w15:docId w15:val="{F23A9379-C920-4A0A-BD0C-F49A585B5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EF0A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F0A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F0A4C"/>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F0A4C"/>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F0A4C"/>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F0A4C"/>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F0A4C"/>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F0A4C"/>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F0A4C"/>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F0A4C"/>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F0A4C"/>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F0A4C"/>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F0A4C"/>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F0A4C"/>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F0A4C"/>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F0A4C"/>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F0A4C"/>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F0A4C"/>
    <w:rPr>
      <w:rFonts w:eastAsiaTheme="majorEastAsia" w:cstheme="majorBidi"/>
      <w:color w:val="272727" w:themeColor="text1" w:themeTint="D8"/>
    </w:rPr>
  </w:style>
  <w:style w:type="paragraph" w:styleId="Titolo">
    <w:name w:val="Title"/>
    <w:basedOn w:val="Normale"/>
    <w:next w:val="Normale"/>
    <w:link w:val="TitoloCarattere"/>
    <w:uiPriority w:val="10"/>
    <w:qFormat/>
    <w:rsid w:val="00EF0A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F0A4C"/>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F0A4C"/>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F0A4C"/>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F0A4C"/>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F0A4C"/>
    <w:rPr>
      <w:i/>
      <w:iCs/>
      <w:color w:val="404040" w:themeColor="text1" w:themeTint="BF"/>
    </w:rPr>
  </w:style>
  <w:style w:type="paragraph" w:styleId="Paragrafoelenco">
    <w:name w:val="List Paragraph"/>
    <w:basedOn w:val="Normale"/>
    <w:uiPriority w:val="34"/>
    <w:qFormat/>
    <w:rsid w:val="00EF0A4C"/>
    <w:pPr>
      <w:ind w:left="720"/>
      <w:contextualSpacing/>
    </w:pPr>
  </w:style>
  <w:style w:type="character" w:styleId="Enfasiintensa">
    <w:name w:val="Intense Emphasis"/>
    <w:basedOn w:val="Carpredefinitoparagrafo"/>
    <w:uiPriority w:val="21"/>
    <w:qFormat/>
    <w:rsid w:val="00EF0A4C"/>
    <w:rPr>
      <w:i/>
      <w:iCs/>
      <w:color w:val="0F4761" w:themeColor="accent1" w:themeShade="BF"/>
    </w:rPr>
  </w:style>
  <w:style w:type="paragraph" w:styleId="Citazioneintensa">
    <w:name w:val="Intense Quote"/>
    <w:basedOn w:val="Normale"/>
    <w:next w:val="Normale"/>
    <w:link w:val="CitazioneintensaCarattere"/>
    <w:uiPriority w:val="30"/>
    <w:qFormat/>
    <w:rsid w:val="00EF0A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F0A4C"/>
    <w:rPr>
      <w:i/>
      <w:iCs/>
      <w:color w:val="0F4761" w:themeColor="accent1" w:themeShade="BF"/>
    </w:rPr>
  </w:style>
  <w:style w:type="character" w:styleId="Riferimentointenso">
    <w:name w:val="Intense Reference"/>
    <w:basedOn w:val="Carpredefinitoparagrafo"/>
    <w:uiPriority w:val="32"/>
    <w:qFormat/>
    <w:rsid w:val="00EF0A4C"/>
    <w:rPr>
      <w:b/>
      <w:bCs/>
      <w:smallCaps/>
      <w:color w:val="0F4761" w:themeColor="accent1" w:themeShade="BF"/>
      <w:spacing w:val="5"/>
    </w:rPr>
  </w:style>
  <w:style w:type="character" w:styleId="Collegamentoipertestuale">
    <w:name w:val="Hyperlink"/>
    <w:basedOn w:val="Carpredefinitoparagrafo"/>
    <w:uiPriority w:val="99"/>
    <w:unhideWhenUsed/>
    <w:rsid w:val="00992069"/>
    <w:rPr>
      <w:color w:val="467886" w:themeColor="hyperlink"/>
      <w:u w:val="single"/>
    </w:rPr>
  </w:style>
  <w:style w:type="character" w:styleId="Menzionenonrisolta">
    <w:name w:val="Unresolved Mention"/>
    <w:basedOn w:val="Carpredefinitoparagrafo"/>
    <w:uiPriority w:val="99"/>
    <w:semiHidden/>
    <w:unhideWhenUsed/>
    <w:rsid w:val="009920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458845">
      <w:bodyDiv w:val="1"/>
      <w:marLeft w:val="0"/>
      <w:marRight w:val="0"/>
      <w:marTop w:val="0"/>
      <w:marBottom w:val="0"/>
      <w:divBdr>
        <w:top w:val="none" w:sz="0" w:space="0" w:color="auto"/>
        <w:left w:val="none" w:sz="0" w:space="0" w:color="auto"/>
        <w:bottom w:val="none" w:sz="0" w:space="0" w:color="auto"/>
        <w:right w:val="none" w:sz="0" w:space="0" w:color="auto"/>
      </w:divBdr>
      <w:divsChild>
        <w:div w:id="1200974596">
          <w:marLeft w:val="0"/>
          <w:marRight w:val="0"/>
          <w:marTop w:val="0"/>
          <w:marBottom w:val="1500"/>
          <w:divBdr>
            <w:top w:val="none" w:sz="0" w:space="0" w:color="auto"/>
            <w:left w:val="none" w:sz="0" w:space="0" w:color="auto"/>
            <w:bottom w:val="none" w:sz="0" w:space="0" w:color="auto"/>
            <w:right w:val="none" w:sz="0" w:space="0" w:color="auto"/>
          </w:divBdr>
          <w:divsChild>
            <w:div w:id="117574645">
              <w:marLeft w:val="-225"/>
              <w:marRight w:val="-225"/>
              <w:marTop w:val="0"/>
              <w:marBottom w:val="0"/>
              <w:divBdr>
                <w:top w:val="none" w:sz="0" w:space="0" w:color="auto"/>
                <w:left w:val="none" w:sz="0" w:space="0" w:color="auto"/>
                <w:bottom w:val="none" w:sz="0" w:space="0" w:color="auto"/>
                <w:right w:val="none" w:sz="0" w:space="0" w:color="auto"/>
              </w:divBdr>
              <w:divsChild>
                <w:div w:id="715080365">
                  <w:marLeft w:val="0"/>
                  <w:marRight w:val="0"/>
                  <w:marTop w:val="0"/>
                  <w:marBottom w:val="0"/>
                  <w:divBdr>
                    <w:top w:val="none" w:sz="0" w:space="0" w:color="auto"/>
                    <w:left w:val="none" w:sz="0" w:space="0" w:color="auto"/>
                    <w:bottom w:val="none" w:sz="0" w:space="0" w:color="auto"/>
                    <w:right w:val="none" w:sz="0" w:space="0" w:color="auto"/>
                  </w:divBdr>
                  <w:divsChild>
                    <w:div w:id="1357150144">
                      <w:marLeft w:val="0"/>
                      <w:marRight w:val="0"/>
                      <w:marTop w:val="0"/>
                      <w:marBottom w:val="0"/>
                      <w:divBdr>
                        <w:top w:val="none" w:sz="0" w:space="0" w:color="auto"/>
                        <w:left w:val="none" w:sz="0" w:space="0" w:color="auto"/>
                        <w:bottom w:val="none" w:sz="0" w:space="0" w:color="auto"/>
                        <w:right w:val="none" w:sz="0" w:space="0" w:color="auto"/>
                      </w:divBdr>
                      <w:divsChild>
                        <w:div w:id="1003774541">
                          <w:marLeft w:val="0"/>
                          <w:marRight w:val="0"/>
                          <w:marTop w:val="0"/>
                          <w:marBottom w:val="0"/>
                          <w:divBdr>
                            <w:top w:val="none" w:sz="0" w:space="0" w:color="auto"/>
                            <w:left w:val="none" w:sz="0" w:space="0" w:color="auto"/>
                            <w:bottom w:val="none" w:sz="0" w:space="0" w:color="auto"/>
                            <w:right w:val="none" w:sz="0" w:space="0" w:color="auto"/>
                          </w:divBdr>
                          <w:divsChild>
                            <w:div w:id="1497114428">
                              <w:marLeft w:val="0"/>
                              <w:marRight w:val="0"/>
                              <w:marTop w:val="0"/>
                              <w:marBottom w:val="0"/>
                              <w:divBdr>
                                <w:top w:val="none" w:sz="0" w:space="0" w:color="auto"/>
                                <w:left w:val="none" w:sz="0" w:space="0" w:color="auto"/>
                                <w:bottom w:val="none" w:sz="0" w:space="0" w:color="auto"/>
                                <w:right w:val="none" w:sz="0" w:space="0" w:color="auto"/>
                              </w:divBdr>
                              <w:divsChild>
                                <w:div w:id="416288631">
                                  <w:marLeft w:val="0"/>
                                  <w:marRight w:val="0"/>
                                  <w:marTop w:val="0"/>
                                  <w:marBottom w:val="0"/>
                                  <w:divBdr>
                                    <w:top w:val="none" w:sz="0" w:space="0" w:color="auto"/>
                                    <w:left w:val="none" w:sz="0" w:space="0" w:color="auto"/>
                                    <w:bottom w:val="none" w:sz="0" w:space="0" w:color="auto"/>
                                    <w:right w:val="none" w:sz="0" w:space="0" w:color="auto"/>
                                  </w:divBdr>
                                  <w:divsChild>
                                    <w:div w:id="183155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344743">
          <w:marLeft w:val="0"/>
          <w:marRight w:val="0"/>
          <w:marTop w:val="0"/>
          <w:marBottom w:val="0"/>
          <w:divBdr>
            <w:top w:val="none" w:sz="0" w:space="0" w:color="auto"/>
            <w:left w:val="none" w:sz="0" w:space="0" w:color="auto"/>
            <w:bottom w:val="none" w:sz="0" w:space="0" w:color="auto"/>
            <w:right w:val="none" w:sz="0" w:space="0" w:color="auto"/>
          </w:divBdr>
          <w:divsChild>
            <w:div w:id="1139374095">
              <w:marLeft w:val="-225"/>
              <w:marRight w:val="-225"/>
              <w:marTop w:val="0"/>
              <w:marBottom w:val="0"/>
              <w:divBdr>
                <w:top w:val="none" w:sz="0" w:space="0" w:color="auto"/>
                <w:left w:val="none" w:sz="0" w:space="0" w:color="auto"/>
                <w:bottom w:val="none" w:sz="0" w:space="0" w:color="auto"/>
                <w:right w:val="none" w:sz="0" w:space="0" w:color="auto"/>
              </w:divBdr>
              <w:divsChild>
                <w:div w:id="70001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7047055">
      <w:bodyDiv w:val="1"/>
      <w:marLeft w:val="0"/>
      <w:marRight w:val="0"/>
      <w:marTop w:val="0"/>
      <w:marBottom w:val="0"/>
      <w:divBdr>
        <w:top w:val="none" w:sz="0" w:space="0" w:color="auto"/>
        <w:left w:val="none" w:sz="0" w:space="0" w:color="auto"/>
        <w:bottom w:val="none" w:sz="0" w:space="0" w:color="auto"/>
        <w:right w:val="none" w:sz="0" w:space="0" w:color="auto"/>
      </w:divBdr>
      <w:divsChild>
        <w:div w:id="1498494648">
          <w:marLeft w:val="0"/>
          <w:marRight w:val="0"/>
          <w:marTop w:val="0"/>
          <w:marBottom w:val="1500"/>
          <w:divBdr>
            <w:top w:val="none" w:sz="0" w:space="0" w:color="auto"/>
            <w:left w:val="none" w:sz="0" w:space="0" w:color="auto"/>
            <w:bottom w:val="none" w:sz="0" w:space="0" w:color="auto"/>
            <w:right w:val="none" w:sz="0" w:space="0" w:color="auto"/>
          </w:divBdr>
          <w:divsChild>
            <w:div w:id="632103667">
              <w:marLeft w:val="-225"/>
              <w:marRight w:val="-225"/>
              <w:marTop w:val="0"/>
              <w:marBottom w:val="0"/>
              <w:divBdr>
                <w:top w:val="none" w:sz="0" w:space="0" w:color="auto"/>
                <w:left w:val="none" w:sz="0" w:space="0" w:color="auto"/>
                <w:bottom w:val="none" w:sz="0" w:space="0" w:color="auto"/>
                <w:right w:val="none" w:sz="0" w:space="0" w:color="auto"/>
              </w:divBdr>
              <w:divsChild>
                <w:div w:id="1858805593">
                  <w:marLeft w:val="0"/>
                  <w:marRight w:val="0"/>
                  <w:marTop w:val="0"/>
                  <w:marBottom w:val="0"/>
                  <w:divBdr>
                    <w:top w:val="none" w:sz="0" w:space="0" w:color="auto"/>
                    <w:left w:val="none" w:sz="0" w:space="0" w:color="auto"/>
                    <w:bottom w:val="none" w:sz="0" w:space="0" w:color="auto"/>
                    <w:right w:val="none" w:sz="0" w:space="0" w:color="auto"/>
                  </w:divBdr>
                  <w:divsChild>
                    <w:div w:id="713583149">
                      <w:marLeft w:val="0"/>
                      <w:marRight w:val="0"/>
                      <w:marTop w:val="0"/>
                      <w:marBottom w:val="0"/>
                      <w:divBdr>
                        <w:top w:val="none" w:sz="0" w:space="0" w:color="auto"/>
                        <w:left w:val="none" w:sz="0" w:space="0" w:color="auto"/>
                        <w:bottom w:val="none" w:sz="0" w:space="0" w:color="auto"/>
                        <w:right w:val="none" w:sz="0" w:space="0" w:color="auto"/>
                      </w:divBdr>
                      <w:divsChild>
                        <w:div w:id="971516188">
                          <w:marLeft w:val="0"/>
                          <w:marRight w:val="0"/>
                          <w:marTop w:val="0"/>
                          <w:marBottom w:val="0"/>
                          <w:divBdr>
                            <w:top w:val="none" w:sz="0" w:space="0" w:color="auto"/>
                            <w:left w:val="none" w:sz="0" w:space="0" w:color="auto"/>
                            <w:bottom w:val="none" w:sz="0" w:space="0" w:color="auto"/>
                            <w:right w:val="none" w:sz="0" w:space="0" w:color="auto"/>
                          </w:divBdr>
                          <w:divsChild>
                            <w:div w:id="262954989">
                              <w:marLeft w:val="0"/>
                              <w:marRight w:val="0"/>
                              <w:marTop w:val="0"/>
                              <w:marBottom w:val="0"/>
                              <w:divBdr>
                                <w:top w:val="none" w:sz="0" w:space="0" w:color="auto"/>
                                <w:left w:val="none" w:sz="0" w:space="0" w:color="auto"/>
                                <w:bottom w:val="none" w:sz="0" w:space="0" w:color="auto"/>
                                <w:right w:val="none" w:sz="0" w:space="0" w:color="auto"/>
                              </w:divBdr>
                              <w:divsChild>
                                <w:div w:id="212159697">
                                  <w:marLeft w:val="0"/>
                                  <w:marRight w:val="0"/>
                                  <w:marTop w:val="0"/>
                                  <w:marBottom w:val="0"/>
                                  <w:divBdr>
                                    <w:top w:val="none" w:sz="0" w:space="0" w:color="auto"/>
                                    <w:left w:val="none" w:sz="0" w:space="0" w:color="auto"/>
                                    <w:bottom w:val="none" w:sz="0" w:space="0" w:color="auto"/>
                                    <w:right w:val="none" w:sz="0" w:space="0" w:color="auto"/>
                                  </w:divBdr>
                                  <w:divsChild>
                                    <w:div w:id="949361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0658092">
          <w:marLeft w:val="0"/>
          <w:marRight w:val="0"/>
          <w:marTop w:val="0"/>
          <w:marBottom w:val="0"/>
          <w:divBdr>
            <w:top w:val="none" w:sz="0" w:space="0" w:color="auto"/>
            <w:left w:val="none" w:sz="0" w:space="0" w:color="auto"/>
            <w:bottom w:val="none" w:sz="0" w:space="0" w:color="auto"/>
            <w:right w:val="none" w:sz="0" w:space="0" w:color="auto"/>
          </w:divBdr>
          <w:divsChild>
            <w:div w:id="1419325152">
              <w:marLeft w:val="-225"/>
              <w:marRight w:val="-225"/>
              <w:marTop w:val="0"/>
              <w:marBottom w:val="0"/>
              <w:divBdr>
                <w:top w:val="none" w:sz="0" w:space="0" w:color="auto"/>
                <w:left w:val="none" w:sz="0" w:space="0" w:color="auto"/>
                <w:bottom w:val="none" w:sz="0" w:space="0" w:color="auto"/>
                <w:right w:val="none" w:sz="0" w:space="0" w:color="auto"/>
              </w:divBdr>
              <w:divsChild>
                <w:div w:id="116647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giurisprudenza.costituzionale/" TargetMode="External"/><Relationship Id="rId3" Type="http://schemas.openxmlformats.org/officeDocument/2006/relationships/webSettings" Target="webSettings.xml"/><Relationship Id="rId7" Type="http://schemas.openxmlformats.org/officeDocument/2006/relationships/hyperlink" Target="mailto:info@giurcost.org"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redazione/NOTE%20LEGALI.htm" TargetMode="External"/><Relationship Id="rId11" Type="http://schemas.openxmlformats.org/officeDocument/2006/relationships/fontTable" Target="fontTable.xml"/><Relationship Id="rId5" Type="http://schemas.openxmlformats.org/officeDocument/2006/relationships/hyperlink" Target="https://giurcost.org/decisioni/2007/0401s-07.html" TargetMode="External"/><Relationship Id="rId10" Type="http://schemas.openxmlformats.org/officeDocument/2006/relationships/hyperlink" Target="https://twitter.com/giurcost" TargetMode="External"/><Relationship Id="rId4" Type="http://schemas.openxmlformats.org/officeDocument/2006/relationships/hyperlink" Target="https://giurcost.org/decisioni/2004/0013s-04.html" TargetMode="External"/><Relationship Id="rId9" Type="http://schemas.openxmlformats.org/officeDocument/2006/relationships/hyperlink" Target="https://www.facebook.com/Consulta-OnLine-314589057335/"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2242</Words>
  <Characters>12783</Characters>
  <Application>Microsoft Office Word</Application>
  <DocSecurity>0</DocSecurity>
  <Lines>106</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8</cp:revision>
  <dcterms:created xsi:type="dcterms:W3CDTF">2025-10-09T16:59:00Z</dcterms:created>
  <dcterms:modified xsi:type="dcterms:W3CDTF">2025-10-16T14:08:00Z</dcterms:modified>
</cp:coreProperties>
</file>