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6785F" w14:textId="77777777" w:rsidR="008150DF" w:rsidRPr="008150DF" w:rsidRDefault="008150DF" w:rsidP="001425EE">
      <w:pPr>
        <w:jc w:val="both"/>
      </w:pPr>
      <w:r w:rsidRPr="008150DF">
        <w:t>SENTENZA N. 246</w:t>
      </w:r>
    </w:p>
    <w:p w14:paraId="7804A295" w14:textId="77777777" w:rsidR="008150DF" w:rsidRPr="008150DF" w:rsidRDefault="008150DF" w:rsidP="001425EE">
      <w:pPr>
        <w:jc w:val="both"/>
      </w:pPr>
      <w:r w:rsidRPr="008150DF">
        <w:t>ANNO 2006</w:t>
      </w:r>
    </w:p>
    <w:p w14:paraId="64DE38AB" w14:textId="77777777" w:rsidR="008150DF" w:rsidRPr="008150DF" w:rsidRDefault="008150DF" w:rsidP="001425EE">
      <w:pPr>
        <w:jc w:val="both"/>
      </w:pPr>
      <w:r w:rsidRPr="008150DF">
        <w:t> </w:t>
      </w:r>
    </w:p>
    <w:p w14:paraId="7D2C83B3" w14:textId="77777777" w:rsidR="008150DF" w:rsidRPr="008150DF" w:rsidRDefault="008150DF" w:rsidP="001425EE">
      <w:pPr>
        <w:jc w:val="both"/>
      </w:pPr>
      <w:r w:rsidRPr="008150DF">
        <w:t> </w:t>
      </w:r>
    </w:p>
    <w:p w14:paraId="2FC5661C" w14:textId="77777777" w:rsidR="008150DF" w:rsidRPr="008150DF" w:rsidRDefault="008150DF" w:rsidP="001425EE">
      <w:pPr>
        <w:jc w:val="both"/>
      </w:pPr>
      <w:r w:rsidRPr="008150DF">
        <w:t>REPUBBLICA ITALIANA</w:t>
      </w:r>
    </w:p>
    <w:p w14:paraId="42EB1238" w14:textId="77777777" w:rsidR="008150DF" w:rsidRPr="008150DF" w:rsidRDefault="008150DF" w:rsidP="001425EE">
      <w:pPr>
        <w:jc w:val="both"/>
      </w:pPr>
      <w:r w:rsidRPr="008150DF">
        <w:t>IN NOME DEL POPOLO ITALIANO</w:t>
      </w:r>
    </w:p>
    <w:p w14:paraId="4F26C436" w14:textId="77777777" w:rsidR="008150DF" w:rsidRPr="008150DF" w:rsidRDefault="008150DF" w:rsidP="001425EE">
      <w:pPr>
        <w:jc w:val="both"/>
      </w:pPr>
      <w:r w:rsidRPr="008150DF">
        <w:t>LA CORTE COSTITUZIONALE</w:t>
      </w:r>
    </w:p>
    <w:p w14:paraId="1D422B9A" w14:textId="77777777" w:rsidR="008150DF" w:rsidRPr="008150DF" w:rsidRDefault="008150DF" w:rsidP="001425EE">
      <w:pPr>
        <w:jc w:val="both"/>
      </w:pPr>
      <w:r w:rsidRPr="008150DF">
        <w:t>composta dai signori:</w:t>
      </w:r>
    </w:p>
    <w:p w14:paraId="0E8F8093" w14:textId="77777777" w:rsidR="008150DF" w:rsidRPr="008150DF" w:rsidRDefault="008150DF" w:rsidP="001425EE">
      <w:pPr>
        <w:jc w:val="both"/>
      </w:pPr>
      <w:r w:rsidRPr="008150DF">
        <w:t>- Annibale                    MARINI                     Presidente</w:t>
      </w:r>
    </w:p>
    <w:p w14:paraId="324441C6" w14:textId="77777777" w:rsidR="008150DF" w:rsidRPr="008150DF" w:rsidRDefault="008150DF" w:rsidP="001425EE">
      <w:pPr>
        <w:jc w:val="both"/>
      </w:pPr>
      <w:r w:rsidRPr="008150DF">
        <w:t>- Franco                      BILE                           Giudice     </w:t>
      </w:r>
    </w:p>
    <w:p w14:paraId="7F9C0F82" w14:textId="77777777" w:rsidR="008150DF" w:rsidRPr="008150DF" w:rsidRDefault="008150DF" w:rsidP="001425EE">
      <w:pPr>
        <w:jc w:val="both"/>
      </w:pPr>
      <w:r w:rsidRPr="008150DF">
        <w:t>- Giovanni Maria          FLICK                                        </w:t>
      </w:r>
      <w:proofErr w:type="gramStart"/>
      <w:r w:rsidRPr="008150DF">
        <w:t>   “</w:t>
      </w:r>
      <w:proofErr w:type="gramEnd"/>
    </w:p>
    <w:p w14:paraId="210BF27A" w14:textId="77777777" w:rsidR="008150DF" w:rsidRPr="008150DF" w:rsidRDefault="008150DF" w:rsidP="001425EE">
      <w:pPr>
        <w:jc w:val="both"/>
      </w:pPr>
      <w:r w:rsidRPr="008150DF">
        <w:t>- Francesco                 AMIRANTE                   </w:t>
      </w:r>
      <w:proofErr w:type="gramStart"/>
      <w:r w:rsidRPr="008150DF">
        <w:t>   “</w:t>
      </w:r>
      <w:proofErr w:type="gramEnd"/>
    </w:p>
    <w:p w14:paraId="6261FCB9" w14:textId="77777777" w:rsidR="008150DF" w:rsidRPr="008150DF" w:rsidRDefault="008150DF" w:rsidP="001425EE">
      <w:pPr>
        <w:jc w:val="both"/>
      </w:pPr>
      <w:r w:rsidRPr="008150DF">
        <w:t>- Ugo                          DE SIERVO                   </w:t>
      </w:r>
      <w:proofErr w:type="gramStart"/>
      <w:r w:rsidRPr="008150DF">
        <w:t>   “</w:t>
      </w:r>
      <w:proofErr w:type="gramEnd"/>
    </w:p>
    <w:p w14:paraId="64292D35" w14:textId="77777777" w:rsidR="008150DF" w:rsidRPr="008150DF" w:rsidRDefault="008150DF" w:rsidP="001425EE">
      <w:pPr>
        <w:jc w:val="both"/>
      </w:pPr>
      <w:r w:rsidRPr="008150DF">
        <w:t>- Romano                    VACCARELLA              </w:t>
      </w:r>
      <w:proofErr w:type="gramStart"/>
      <w:r w:rsidRPr="008150DF">
        <w:t>   “</w:t>
      </w:r>
      <w:proofErr w:type="gramEnd"/>
    </w:p>
    <w:p w14:paraId="1AB82897" w14:textId="77777777" w:rsidR="008150DF" w:rsidRPr="008150DF" w:rsidRDefault="008150DF" w:rsidP="001425EE">
      <w:pPr>
        <w:jc w:val="both"/>
      </w:pPr>
      <w:r w:rsidRPr="008150DF">
        <w:t>- Paolo            MADDALENA               </w:t>
      </w:r>
      <w:proofErr w:type="gramStart"/>
      <w:r w:rsidRPr="008150DF">
        <w:t>   “</w:t>
      </w:r>
      <w:proofErr w:type="gramEnd"/>
    </w:p>
    <w:p w14:paraId="25F9F6A2" w14:textId="77777777" w:rsidR="008150DF" w:rsidRPr="008150DF" w:rsidRDefault="008150DF" w:rsidP="001425EE">
      <w:pPr>
        <w:jc w:val="both"/>
      </w:pPr>
      <w:r w:rsidRPr="008150DF">
        <w:t>- Alfio                          FINOCCHIARO            </w:t>
      </w:r>
      <w:proofErr w:type="gramStart"/>
      <w:r w:rsidRPr="008150DF">
        <w:t>   “</w:t>
      </w:r>
      <w:proofErr w:type="gramEnd"/>
    </w:p>
    <w:p w14:paraId="01776D29" w14:textId="77777777" w:rsidR="008150DF" w:rsidRPr="008150DF" w:rsidRDefault="008150DF" w:rsidP="001425EE">
      <w:pPr>
        <w:jc w:val="both"/>
      </w:pPr>
      <w:r w:rsidRPr="008150DF">
        <w:t>- Alfonso                     QUARANTA                  </w:t>
      </w:r>
      <w:proofErr w:type="gramStart"/>
      <w:r w:rsidRPr="008150DF">
        <w:t>   “</w:t>
      </w:r>
      <w:proofErr w:type="gramEnd"/>
    </w:p>
    <w:p w14:paraId="5DA37C3C" w14:textId="77777777" w:rsidR="008150DF" w:rsidRPr="008150DF" w:rsidRDefault="008150DF" w:rsidP="001425EE">
      <w:pPr>
        <w:jc w:val="both"/>
      </w:pPr>
      <w:r w:rsidRPr="008150DF">
        <w:t>- Franco                      GALLO                          </w:t>
      </w:r>
      <w:proofErr w:type="gramStart"/>
      <w:r w:rsidRPr="008150DF">
        <w:t>   “</w:t>
      </w:r>
      <w:proofErr w:type="gramEnd"/>
    </w:p>
    <w:p w14:paraId="63E1E86E" w14:textId="77777777" w:rsidR="008150DF" w:rsidRPr="008150DF" w:rsidRDefault="008150DF" w:rsidP="001425EE">
      <w:pPr>
        <w:jc w:val="both"/>
      </w:pPr>
      <w:r w:rsidRPr="008150DF">
        <w:t>- Luigi                          MAZZELLA                   </w:t>
      </w:r>
      <w:proofErr w:type="gramStart"/>
      <w:r w:rsidRPr="008150DF">
        <w:t>   “</w:t>
      </w:r>
      <w:proofErr w:type="gramEnd"/>
    </w:p>
    <w:p w14:paraId="6C9EB912" w14:textId="77777777" w:rsidR="008150DF" w:rsidRPr="008150DF" w:rsidRDefault="008150DF" w:rsidP="001425EE">
      <w:pPr>
        <w:jc w:val="both"/>
      </w:pPr>
      <w:r w:rsidRPr="008150DF">
        <w:t>- Sabino                       CASSESE                       </w:t>
      </w:r>
      <w:proofErr w:type="gramStart"/>
      <w:r w:rsidRPr="008150DF">
        <w:t>   “</w:t>
      </w:r>
      <w:proofErr w:type="gramEnd"/>
    </w:p>
    <w:p w14:paraId="202EE412" w14:textId="77777777" w:rsidR="008150DF" w:rsidRPr="008150DF" w:rsidRDefault="008150DF" w:rsidP="001425EE">
      <w:pPr>
        <w:jc w:val="both"/>
      </w:pPr>
      <w:r w:rsidRPr="008150DF">
        <w:t>- Maria Rita                 SAULLE                         </w:t>
      </w:r>
      <w:proofErr w:type="gramStart"/>
      <w:r w:rsidRPr="008150DF">
        <w:t>   “</w:t>
      </w:r>
      <w:proofErr w:type="gramEnd"/>
    </w:p>
    <w:p w14:paraId="41F05C2F" w14:textId="77777777" w:rsidR="008150DF" w:rsidRPr="008150DF" w:rsidRDefault="008150DF" w:rsidP="001425EE">
      <w:pPr>
        <w:jc w:val="both"/>
      </w:pPr>
      <w:r w:rsidRPr="008150DF">
        <w:t>- Giuseppe                   TESAURO                      </w:t>
      </w:r>
      <w:proofErr w:type="gramStart"/>
      <w:r w:rsidRPr="008150DF">
        <w:t>   “</w:t>
      </w:r>
      <w:proofErr w:type="gramEnd"/>
    </w:p>
    <w:p w14:paraId="3D0D4227" w14:textId="77777777" w:rsidR="008150DF" w:rsidRPr="008150DF" w:rsidRDefault="008150DF" w:rsidP="001425EE">
      <w:pPr>
        <w:jc w:val="both"/>
      </w:pPr>
      <w:r w:rsidRPr="008150DF">
        <w:t>ha pronunciato la seguente</w:t>
      </w:r>
    </w:p>
    <w:p w14:paraId="40AFAC28" w14:textId="77777777" w:rsidR="008150DF" w:rsidRDefault="008150DF" w:rsidP="001425EE">
      <w:pPr>
        <w:jc w:val="both"/>
      </w:pPr>
      <w:r w:rsidRPr="008150DF">
        <w:t>SENTENZA</w:t>
      </w:r>
    </w:p>
    <w:p w14:paraId="0393BB3B" w14:textId="77777777" w:rsidR="001425EE" w:rsidRPr="008150DF" w:rsidRDefault="001425EE" w:rsidP="001425EE">
      <w:pPr>
        <w:jc w:val="both"/>
      </w:pPr>
    </w:p>
    <w:p w14:paraId="52DA71F2" w14:textId="77777777" w:rsidR="008150DF" w:rsidRPr="00072AC8" w:rsidRDefault="008150DF" w:rsidP="001425EE">
      <w:pPr>
        <w:jc w:val="both"/>
        <w:rPr>
          <w:b/>
          <w:bCs/>
        </w:rPr>
      </w:pPr>
      <w:r w:rsidRPr="00072AC8">
        <w:rPr>
          <w:b/>
          <w:bCs/>
        </w:rPr>
        <w:t>Considerato in diritto</w:t>
      </w:r>
    </w:p>
    <w:p w14:paraId="21522942" w14:textId="77777777" w:rsidR="008150DF" w:rsidRPr="00072AC8" w:rsidRDefault="008150DF" w:rsidP="001425EE">
      <w:pPr>
        <w:jc w:val="both"/>
        <w:rPr>
          <w:b/>
          <w:bCs/>
        </w:rPr>
      </w:pPr>
      <w:r w:rsidRPr="00072AC8">
        <w:rPr>
          <w:b/>
          <w:bCs/>
        </w:rPr>
        <w:t>1. – Il Presidente del Consiglio dei ministri ha impugnato numerose disposizioni della legge della Regione Emilia-Romagna 23 dicembre 2004, n. 26 (Disciplina della programmazione energetica territoriale ed altre disposizioni in materia di energia), con la quale la Regione, «in armonia con gli indirizzi della politica energetica nazionale e dell’Unione europea», ha disciplinato «gli atti di programmazione e gli interventi operativi della Regione e degli enti locali in materia di energia, in conformità a quanto previsto dall’articolo 117, comma terzo, della Costituzione, al fine di promuovere lo sviluppo sostenibile del sistema energetico regionale garantendo che vi sia una corrispondenza tra energia prodotta, il suo uso razionale e la capacità di carico del territorio e dell’ambiente» (art. 1, comma 1).</w:t>
      </w:r>
    </w:p>
    <w:p w14:paraId="4B105649" w14:textId="1D1D24C0" w:rsidR="00D42F6F" w:rsidRPr="00072AC8" w:rsidRDefault="00D42F6F" w:rsidP="00D42F6F">
      <w:pPr>
        <w:jc w:val="both"/>
        <w:rPr>
          <w:b/>
          <w:bCs/>
        </w:rPr>
      </w:pPr>
      <w:r w:rsidRPr="00072AC8">
        <w:rPr>
          <w:b/>
          <w:bCs/>
        </w:rPr>
        <w:lastRenderedPageBreak/>
        <w:t>[…]</w:t>
      </w:r>
    </w:p>
    <w:p w14:paraId="4CCAFD32" w14:textId="77777777" w:rsidR="00D42F6F" w:rsidRPr="00072AC8" w:rsidRDefault="00D42F6F" w:rsidP="00D42F6F">
      <w:pPr>
        <w:jc w:val="both"/>
        <w:rPr>
          <w:b/>
          <w:bCs/>
        </w:rPr>
      </w:pPr>
      <w:r w:rsidRPr="00072AC8">
        <w:rPr>
          <w:b/>
          <w:bCs/>
        </w:rPr>
        <w:t>7. – Anche l'art. 16, commi 1, 6 e 7, della legge della Regione Emilia-Romagna n. 26 del 2004 è oggetto di impugnazione da parte del Governo.</w:t>
      </w:r>
    </w:p>
    <w:p w14:paraId="2260365E" w14:textId="77777777" w:rsidR="00D42F6F" w:rsidRPr="00072AC8" w:rsidRDefault="00D42F6F" w:rsidP="00D42F6F">
      <w:pPr>
        <w:jc w:val="both"/>
        <w:rPr>
          <w:b/>
          <w:bCs/>
        </w:rPr>
      </w:pPr>
    </w:p>
    <w:p w14:paraId="60126766" w14:textId="77777777" w:rsidR="00D42F6F" w:rsidRPr="00072AC8" w:rsidRDefault="00D42F6F" w:rsidP="00D42F6F">
      <w:pPr>
        <w:jc w:val="both"/>
        <w:rPr>
          <w:b/>
          <w:bCs/>
        </w:rPr>
      </w:pPr>
      <w:r w:rsidRPr="00072AC8">
        <w:rPr>
          <w:b/>
          <w:bCs/>
        </w:rPr>
        <w:t xml:space="preserve">Il comma 1 di tale disposizione stabilisce che la Giunta regionale «emana, entro dodici mesi dall'entrata in vigore della presente legge, </w:t>
      </w:r>
      <w:r w:rsidRPr="00072AC8">
        <w:rPr>
          <w:b/>
          <w:bCs/>
          <w:color w:val="EE0000"/>
        </w:rPr>
        <w:t xml:space="preserve">uno o più regolamenti </w:t>
      </w:r>
      <w:r w:rsidRPr="00072AC8">
        <w:rPr>
          <w:b/>
          <w:bCs/>
        </w:rPr>
        <w:t>volti a disciplinare le procedure autorizzative di propria competenza». Ai sensi del successivo comma 6, «</w:t>
      </w:r>
      <w:r w:rsidRPr="00072AC8">
        <w:rPr>
          <w:b/>
          <w:bCs/>
          <w:u w:val="single"/>
        </w:rPr>
        <w:t xml:space="preserve">gli enti locali esercitano il potere regolamentare in </w:t>
      </w:r>
      <w:r w:rsidRPr="00072AC8">
        <w:rPr>
          <w:b/>
          <w:bCs/>
        </w:rPr>
        <w:t xml:space="preserve">ordine alla organizzazione ed allo svolgimento delle funzioni ad essi attribuite ai sensi della presente legge», mentre il comma 7 prevede che fino a quando tali regolamenti non siano entrati in vigore, anche ai procedimenti autorizzativi di competenza degli enti locali si applichino </w:t>
      </w:r>
      <w:r w:rsidRPr="00072AC8">
        <w:rPr>
          <w:b/>
          <w:bCs/>
          <w:u w:val="single"/>
        </w:rPr>
        <w:t>i regolamenti regionali</w:t>
      </w:r>
      <w:r w:rsidRPr="00072AC8">
        <w:rPr>
          <w:b/>
          <w:bCs/>
        </w:rPr>
        <w:t xml:space="preserve"> di cui al comma 1, i quali cesseranno di avere efficacia non appena entrino in vigore i regolamenti locali.</w:t>
      </w:r>
    </w:p>
    <w:p w14:paraId="3D15972F" w14:textId="77777777" w:rsidR="00D42F6F" w:rsidRPr="00072AC8" w:rsidRDefault="00D42F6F" w:rsidP="00D42F6F">
      <w:pPr>
        <w:jc w:val="both"/>
        <w:rPr>
          <w:b/>
          <w:bCs/>
        </w:rPr>
      </w:pPr>
    </w:p>
    <w:p w14:paraId="0055CBD5" w14:textId="77777777" w:rsidR="00D42F6F" w:rsidRPr="00072AC8" w:rsidRDefault="00D42F6F" w:rsidP="00D42F6F">
      <w:pPr>
        <w:jc w:val="both"/>
        <w:rPr>
          <w:b/>
          <w:bCs/>
          <w:u w:val="single"/>
        </w:rPr>
      </w:pPr>
      <w:r w:rsidRPr="00072AC8">
        <w:rPr>
          <w:b/>
          <w:bCs/>
        </w:rPr>
        <w:t xml:space="preserve">Il ricorrente lamenta che le suddette disposizioni </w:t>
      </w:r>
      <w:r w:rsidRPr="00072AC8">
        <w:rPr>
          <w:b/>
          <w:bCs/>
          <w:u w:val="single"/>
        </w:rPr>
        <w:t>violerebbero l'art. 117, sesto comma</w:t>
      </w:r>
      <w:r w:rsidRPr="00072AC8">
        <w:rPr>
          <w:b/>
          <w:bCs/>
        </w:rPr>
        <w:t xml:space="preserve">, della Costituzione, il quale attribuendo ai Comuni la potestà regolamentare in ordine alla disciplina dell'organizzazione e dello svolgimento delle funzioni attribuite, </w:t>
      </w:r>
      <w:r w:rsidRPr="00072AC8">
        <w:rPr>
          <w:b/>
          <w:bCs/>
          <w:u w:val="single"/>
        </w:rPr>
        <w:t>escluderebbe che la Regione possa dettare norme suppletive.</w:t>
      </w:r>
    </w:p>
    <w:p w14:paraId="7679511D" w14:textId="77777777" w:rsidR="00D42F6F" w:rsidRPr="00072AC8" w:rsidRDefault="00D42F6F" w:rsidP="00D42F6F">
      <w:pPr>
        <w:jc w:val="both"/>
        <w:rPr>
          <w:b/>
          <w:bCs/>
        </w:rPr>
      </w:pPr>
    </w:p>
    <w:p w14:paraId="080CA9CD" w14:textId="701075B8" w:rsidR="00D42F6F" w:rsidRPr="00072AC8" w:rsidRDefault="006C59FE" w:rsidP="00D42F6F">
      <w:pPr>
        <w:jc w:val="both"/>
        <w:rPr>
          <w:b/>
          <w:bCs/>
        </w:rPr>
      </w:pPr>
      <w:r w:rsidRPr="00072AC8">
        <w:rPr>
          <w:b/>
          <w:bCs/>
        </w:rPr>
        <w:t>[…]</w:t>
      </w:r>
    </w:p>
    <w:p w14:paraId="05DC5BD2" w14:textId="77777777" w:rsidR="006C59FE" w:rsidRDefault="006C59FE" w:rsidP="00D42F6F">
      <w:pPr>
        <w:jc w:val="both"/>
      </w:pPr>
    </w:p>
    <w:p w14:paraId="68DACD93" w14:textId="77777777" w:rsidR="00D42F6F" w:rsidRPr="00072AC8" w:rsidRDefault="00D42F6F" w:rsidP="00D42F6F">
      <w:pPr>
        <w:jc w:val="both"/>
        <w:rPr>
          <w:b/>
          <w:bCs/>
        </w:rPr>
      </w:pPr>
      <w:r w:rsidRPr="00072AC8">
        <w:rPr>
          <w:b/>
          <w:bCs/>
        </w:rPr>
        <w:t>7.1. – La questione è fondata.</w:t>
      </w:r>
    </w:p>
    <w:p w14:paraId="2D0D71C5" w14:textId="77777777" w:rsidR="00D42F6F" w:rsidRPr="00072AC8" w:rsidRDefault="00D42F6F" w:rsidP="00D42F6F">
      <w:pPr>
        <w:jc w:val="both"/>
        <w:rPr>
          <w:b/>
          <w:bCs/>
        </w:rPr>
      </w:pPr>
    </w:p>
    <w:p w14:paraId="77D26595" w14:textId="77777777" w:rsidR="00D42F6F" w:rsidRPr="00072AC8" w:rsidRDefault="00D42F6F" w:rsidP="00D42F6F">
      <w:pPr>
        <w:jc w:val="both"/>
        <w:rPr>
          <w:b/>
          <w:bCs/>
        </w:rPr>
      </w:pPr>
      <w:r w:rsidRPr="00072AC8">
        <w:rPr>
          <w:b/>
          <w:bCs/>
        </w:rPr>
        <w:t>Conformemente al dettato dell'art. 117, sesto comma, della Costituzione, l'art. 16, comma 6, della legge impugnata riconosce agli enti locali il potere regolamentare concernente l'organizzazione e lo svolgimento delle funzioni che la medesima legge regionale attribuisce loro in materia di energia; tuttavia, quanto disposto dal successivo comma 7 illegittimamente contraddice questa normativa.</w:t>
      </w:r>
    </w:p>
    <w:p w14:paraId="5D900F38" w14:textId="77777777" w:rsidR="00D42F6F" w:rsidRPr="00072AC8" w:rsidRDefault="00D42F6F" w:rsidP="00D42F6F">
      <w:pPr>
        <w:jc w:val="both"/>
        <w:rPr>
          <w:b/>
          <w:bCs/>
        </w:rPr>
      </w:pPr>
    </w:p>
    <w:p w14:paraId="7AA4CE8D" w14:textId="77777777" w:rsidR="00D42F6F" w:rsidRPr="00072AC8" w:rsidRDefault="00D42F6F" w:rsidP="00D42F6F">
      <w:pPr>
        <w:jc w:val="both"/>
        <w:rPr>
          <w:b/>
          <w:bCs/>
        </w:rPr>
      </w:pPr>
      <w:r w:rsidRPr="00072AC8">
        <w:rPr>
          <w:b/>
          <w:bCs/>
        </w:rPr>
        <w:t>Infatti, la disposizione impugnata in realtà amplia, seppure in via suppletiva, l'oggetto del regolamento quale definito dal comma 1 dell'art. 16 («disciplinare le procedure autorizzative di propria competenza»), estendendolo alla disciplina dell'organizzazione e dell'esercizio delle funzioni attribuite ai Comuni e agli altri enti locali territoriali.</w:t>
      </w:r>
    </w:p>
    <w:p w14:paraId="1F94F70D" w14:textId="77777777" w:rsidR="00D42F6F" w:rsidRPr="00072AC8" w:rsidRDefault="00D42F6F" w:rsidP="00D42F6F">
      <w:pPr>
        <w:jc w:val="both"/>
        <w:rPr>
          <w:b/>
          <w:bCs/>
        </w:rPr>
      </w:pPr>
    </w:p>
    <w:p w14:paraId="30D68311" w14:textId="77777777" w:rsidR="00D42F6F" w:rsidRPr="00072AC8" w:rsidRDefault="00D42F6F" w:rsidP="00D42F6F">
      <w:pPr>
        <w:jc w:val="both"/>
        <w:rPr>
          <w:b/>
          <w:bCs/>
        </w:rPr>
      </w:pPr>
      <w:r w:rsidRPr="00072AC8">
        <w:rPr>
          <w:b/>
          <w:bCs/>
        </w:rPr>
        <w:t xml:space="preserve">Tuttavia, se il legislatore regionale nell'ambito delle proprie materie legislative dispone discrezionalmente delle attribuzioni di funzioni amministrative agli enti locali, ulteriori rispetto alle loro funzioni fondamentali, anche in considerazione dei principi di sussidiarietà, differenziazione ed adeguatezza di cui al primo comma dell'art. 118 della Costituzione, </w:t>
      </w:r>
      <w:r w:rsidRPr="00072AC8">
        <w:rPr>
          <w:b/>
          <w:bCs/>
          <w:u w:val="single"/>
        </w:rPr>
        <w:t>non può contestualmente pretendere di affidare ad un organo della Regione – neppure in via suppletiva – la potestà regolamentare</w:t>
      </w:r>
      <w:r w:rsidRPr="00072AC8">
        <w:rPr>
          <w:b/>
          <w:bCs/>
        </w:rPr>
        <w:t xml:space="preserve"> propria dei Comuni o delle Province in riferimento a quanto attribuito loro dalla legge regionale medesima. Nei limiti, infatti, delle funzioni attribuite dalla legge regionale agli enti locali, solo quest'ultimi possono – come espressamente affermato nell'ultimo periodo del sesto comma dell'art. 117 Cost. – adottare i regolamenti relativi all'organizzazione ed all'esercizio delle funzioni loro affidate dalla Regione.</w:t>
      </w:r>
    </w:p>
    <w:p w14:paraId="306EF8BF" w14:textId="77777777" w:rsidR="00D42F6F" w:rsidRPr="00072AC8" w:rsidRDefault="00D42F6F" w:rsidP="00D42F6F">
      <w:pPr>
        <w:jc w:val="both"/>
        <w:rPr>
          <w:b/>
          <w:bCs/>
        </w:rPr>
      </w:pPr>
    </w:p>
    <w:p w14:paraId="2C497B80" w14:textId="77777777" w:rsidR="00D42F6F" w:rsidRPr="00072AC8" w:rsidRDefault="00D42F6F" w:rsidP="00D42F6F">
      <w:pPr>
        <w:jc w:val="both"/>
        <w:rPr>
          <w:b/>
          <w:bCs/>
        </w:rPr>
      </w:pPr>
      <w:r w:rsidRPr="00072AC8">
        <w:rPr>
          <w:b/>
          <w:bCs/>
        </w:rPr>
        <w:t xml:space="preserve">La previsione oggetto di censura non potrebbe neppure giustificarsi nell'ambito dei </w:t>
      </w:r>
      <w:r w:rsidRPr="00072AC8">
        <w:rPr>
          <w:b/>
          <w:bCs/>
          <w:u w:val="single"/>
        </w:rPr>
        <w:t>poteri sostitutivi ordinari</w:t>
      </w:r>
      <w:r w:rsidRPr="00072AC8">
        <w:rPr>
          <w:b/>
          <w:bCs/>
        </w:rPr>
        <w:t xml:space="preserve"> della Regione sugli enti locali; ammesso, infatti, che i poteri sostitutivi siano configurabili in relazione ai regolamenti degli enti locali, si tratterebbe comunque, nel caso di specie, di un </w:t>
      </w:r>
      <w:r w:rsidRPr="00072AC8">
        <w:rPr>
          <w:b/>
          <w:bCs/>
          <w:u w:val="single"/>
        </w:rPr>
        <w:t>intervento preventivo</w:t>
      </w:r>
      <w:r w:rsidRPr="00072AC8">
        <w:rPr>
          <w:b/>
          <w:bCs/>
        </w:rPr>
        <w:t xml:space="preserve">, configurato oltretutto </w:t>
      </w:r>
      <w:r w:rsidRPr="00072AC8">
        <w:rPr>
          <w:b/>
          <w:bCs/>
          <w:u w:val="single"/>
        </w:rPr>
        <w:t>in assenza di una qualunque ipotesi di inadempimento</w:t>
      </w:r>
      <w:r w:rsidRPr="00072AC8">
        <w:rPr>
          <w:b/>
          <w:bCs/>
        </w:rPr>
        <w:t xml:space="preserve"> da parte dell'ente locale rispetto ad un obbligo a provvedere, come è confermato sia dal primo comma dell'art. 16, che prevede un termine di dodici mesi per l'adozione degli stessi regolamenti regionali, sia dal quarto comma dello stesso art. 16, che prevede che in attesa dei regolamenti regionali «si applichino le norme e le procedure vigenti».</w:t>
      </w:r>
    </w:p>
    <w:p w14:paraId="154F1D41" w14:textId="48952827" w:rsidR="00D42F6F" w:rsidRPr="00072AC8" w:rsidRDefault="00072AC8" w:rsidP="00D42F6F">
      <w:pPr>
        <w:jc w:val="both"/>
        <w:rPr>
          <w:b/>
          <w:bCs/>
        </w:rPr>
      </w:pPr>
      <w:r w:rsidRPr="00072AC8">
        <w:rPr>
          <w:b/>
          <w:bCs/>
        </w:rPr>
        <w:t>[…]</w:t>
      </w:r>
    </w:p>
    <w:p w14:paraId="251BAD2B" w14:textId="77777777" w:rsidR="00072AC8" w:rsidRDefault="00072AC8" w:rsidP="00D42F6F">
      <w:pPr>
        <w:jc w:val="both"/>
      </w:pPr>
    </w:p>
    <w:p w14:paraId="1722034F" w14:textId="77777777" w:rsidR="00D42F6F" w:rsidRDefault="00D42F6F" w:rsidP="00D42F6F">
      <w:pPr>
        <w:jc w:val="both"/>
      </w:pPr>
      <w:r>
        <w:t>per questi motivi</w:t>
      </w:r>
    </w:p>
    <w:p w14:paraId="0EE5A620" w14:textId="77777777" w:rsidR="00D42F6F" w:rsidRDefault="00D42F6F" w:rsidP="00D42F6F">
      <w:pPr>
        <w:jc w:val="both"/>
      </w:pPr>
    </w:p>
    <w:p w14:paraId="1B22C47D" w14:textId="77777777" w:rsidR="00D42F6F" w:rsidRDefault="00D42F6F" w:rsidP="00D42F6F">
      <w:pPr>
        <w:jc w:val="both"/>
      </w:pPr>
      <w:r>
        <w:t>LA CORTE COSTITUZIONALE</w:t>
      </w:r>
    </w:p>
    <w:p w14:paraId="1FD89EFE" w14:textId="77777777" w:rsidR="00D42F6F" w:rsidRDefault="00D42F6F" w:rsidP="00D42F6F">
      <w:pPr>
        <w:jc w:val="both"/>
      </w:pPr>
    </w:p>
    <w:p w14:paraId="545836DC" w14:textId="77777777" w:rsidR="00D42F6F" w:rsidRDefault="00D42F6F" w:rsidP="00D42F6F">
      <w:pPr>
        <w:jc w:val="both"/>
      </w:pPr>
      <w:r>
        <w:t>dichiara l'illegittimità costituzionale dell'art. 16, comma 7, della legge della Regione Emilia-Romagna 23 dicembre 2004, n. 26 (Disciplina della programmazione energetica territoriale ed altre disposizioni in materia di energia);</w:t>
      </w:r>
    </w:p>
    <w:p w14:paraId="573D85CA" w14:textId="77777777" w:rsidR="00D42F6F" w:rsidRDefault="00D42F6F" w:rsidP="00D42F6F">
      <w:pPr>
        <w:jc w:val="both"/>
      </w:pPr>
    </w:p>
    <w:p w14:paraId="6E42777D" w14:textId="77777777" w:rsidR="00D42F6F" w:rsidRDefault="00D42F6F" w:rsidP="00D42F6F">
      <w:pPr>
        <w:jc w:val="both"/>
      </w:pPr>
      <w:r>
        <w:t>dichiara inammissibili le questioni di legittimità costituzionale dell'art. 1, comma 5, della legge della Regione Emilia-Romagna n. 26 del 2004, sollevate dal Presidente del Consiglio dei ministri, in relazione all'art. 117, primo e terzo comma, della Costituzione, con il ricorso indicato in epigrafe;</w:t>
      </w:r>
    </w:p>
    <w:p w14:paraId="06EEDFD7" w14:textId="77777777" w:rsidR="00D42F6F" w:rsidRDefault="00D42F6F" w:rsidP="00D42F6F">
      <w:pPr>
        <w:jc w:val="both"/>
      </w:pPr>
    </w:p>
    <w:p w14:paraId="150DDE1A" w14:textId="77777777" w:rsidR="00D42F6F" w:rsidRDefault="00D42F6F" w:rsidP="00D42F6F">
      <w:pPr>
        <w:jc w:val="both"/>
      </w:pPr>
      <w:r>
        <w:t>dichiara inammissibile la questione di legittimità costituzionale dell'art. 2, comma 1, lettera k), della legge della Regione Emilia-Romagna n. 26 del 2004, sollevata dal Presidente del Consiglio dei ministri, in riferimento all'art. 117, terzo comma, della Costituzione, e in relazione all'art. 1, commi 7 e 8, della legge 23 agosto 2004, n. 239 (Riordino del settore energetico, nonché delega al Governo per il riassetto delle disposizioni vigenti in materia di energia), con il ricorso indicato in epigrafe;</w:t>
      </w:r>
    </w:p>
    <w:p w14:paraId="500E3840" w14:textId="77777777" w:rsidR="00D42F6F" w:rsidRDefault="00D42F6F" w:rsidP="00D42F6F">
      <w:pPr>
        <w:jc w:val="both"/>
      </w:pPr>
    </w:p>
    <w:p w14:paraId="4C90E0EA" w14:textId="77777777" w:rsidR="00D42F6F" w:rsidRDefault="00D42F6F" w:rsidP="00D42F6F">
      <w:pPr>
        <w:jc w:val="both"/>
      </w:pPr>
      <w:r>
        <w:t>dichiara inammissibile la questione di legittimità costituzionale dell'art. 2, comma 1, lettera o), della legge della Regione Emilia-Romagna n. 26 del 2004, sollevata dal Presidente del Consiglio dei ministri, in relazione all'art. 117, terzo comma, della Costituzione, con il ricorso indicato in epigrafe;</w:t>
      </w:r>
    </w:p>
    <w:p w14:paraId="6D115FE6" w14:textId="77777777" w:rsidR="00D42F6F" w:rsidRDefault="00D42F6F" w:rsidP="00D42F6F">
      <w:pPr>
        <w:jc w:val="both"/>
      </w:pPr>
    </w:p>
    <w:p w14:paraId="4E98F42A" w14:textId="77777777" w:rsidR="00D42F6F" w:rsidRDefault="00D42F6F" w:rsidP="00D42F6F">
      <w:pPr>
        <w:jc w:val="both"/>
      </w:pPr>
      <w:r>
        <w:t>dichiara inammissibile la questione di legittimità costituzionale dell'art. 3, comma 1, lettera c), della legge della Regione Emilia-Romagna n. 26 del 2004, sollevata dal Presidente del Consiglio dei ministri, in relazione all'art. 117, terzo comma, della Costituzione, con il ricorso indicato in epigrafe;</w:t>
      </w:r>
    </w:p>
    <w:p w14:paraId="5CDBC19A" w14:textId="77777777" w:rsidR="00D42F6F" w:rsidRDefault="00D42F6F" w:rsidP="00D42F6F">
      <w:pPr>
        <w:jc w:val="both"/>
      </w:pPr>
    </w:p>
    <w:p w14:paraId="759F22AF" w14:textId="77777777" w:rsidR="00D42F6F" w:rsidRDefault="00D42F6F" w:rsidP="00D42F6F">
      <w:pPr>
        <w:jc w:val="both"/>
      </w:pPr>
      <w:r>
        <w:t>dichiara non fondate le questioni di legittimità costituzionale dell'art. 1, comma 3, lettera c), della legge della Regione Emilia-Romagna n. 26 del 2004, sollevate dal Presidente del Consiglio dei ministri, in relazione all'art. 117, commi secondo, lettera s), e terzo, della Costituzione, con il ricorso indicato in epigrafe;</w:t>
      </w:r>
    </w:p>
    <w:p w14:paraId="7502896F" w14:textId="77777777" w:rsidR="00D42F6F" w:rsidRDefault="00D42F6F" w:rsidP="00D42F6F">
      <w:pPr>
        <w:jc w:val="both"/>
      </w:pPr>
    </w:p>
    <w:p w14:paraId="7D5F5CE2" w14:textId="77777777" w:rsidR="00D42F6F" w:rsidRDefault="00D42F6F" w:rsidP="00D42F6F">
      <w:pPr>
        <w:jc w:val="both"/>
      </w:pPr>
      <w:r>
        <w:t>dichiara non fondate le questioni di legittimità costituzionale dell'art. 2, comma 1, lettera k), della legge della Regione Emilia-Romagna n. 26 del 2004, sollevate dal Presidente del Consiglio dei ministri, in relazione all'art. 117, terzo comma, della Costituzione, con il ricorso indicato in epigrafe;</w:t>
      </w:r>
    </w:p>
    <w:p w14:paraId="4E7B4A27" w14:textId="77777777" w:rsidR="00D42F6F" w:rsidRDefault="00D42F6F" w:rsidP="00D42F6F">
      <w:pPr>
        <w:jc w:val="both"/>
      </w:pPr>
    </w:p>
    <w:p w14:paraId="6AD8A457" w14:textId="77777777" w:rsidR="00D42F6F" w:rsidRDefault="00D42F6F" w:rsidP="00D42F6F">
      <w:pPr>
        <w:jc w:val="both"/>
      </w:pPr>
      <w:r>
        <w:t>dichiara non fondata la questione di legittimità costituzionale dell'art. 20, comma 1, della legge della Regione Emilia-Romagna n. 26 del 2004, sollevata dal Presidente del Consiglio dei ministri, in relazione all'art. 117, terzo comma, della Costituzione, con il ricorso indicato in epigrafe;</w:t>
      </w:r>
    </w:p>
    <w:p w14:paraId="14258635" w14:textId="77777777" w:rsidR="00D42F6F" w:rsidRDefault="00D42F6F" w:rsidP="00D42F6F">
      <w:pPr>
        <w:jc w:val="both"/>
      </w:pPr>
    </w:p>
    <w:p w14:paraId="7E9A689B" w14:textId="77777777" w:rsidR="00D42F6F" w:rsidRDefault="00D42F6F" w:rsidP="00D42F6F">
      <w:pPr>
        <w:jc w:val="both"/>
      </w:pPr>
      <w:r>
        <w:t>dichiara non fondate le questioni di legittimità costituzionale dell'art. 21, della legge della Regione Emilia-Romagna n. 26 del 2004, sollevate dal Presidente del Consiglio dei ministri, in relazione all'art. 117, commi secondo, lettera g), e terzo, della Costituzione, con il ricorso indicato in epigrafe;</w:t>
      </w:r>
    </w:p>
    <w:p w14:paraId="04ABFBD9" w14:textId="77777777" w:rsidR="00D42F6F" w:rsidRDefault="00D42F6F" w:rsidP="00D42F6F">
      <w:pPr>
        <w:jc w:val="both"/>
      </w:pPr>
    </w:p>
    <w:p w14:paraId="54E958EC" w14:textId="77777777" w:rsidR="00D42F6F" w:rsidRDefault="00D42F6F" w:rsidP="00D42F6F">
      <w:pPr>
        <w:jc w:val="both"/>
      </w:pPr>
      <w:r>
        <w:t>dichiara non fondata la questione di legittimità costituzionale dell'art. 22, comma 4, della legge della Regione Emilia-Romagna n. 26 del 2004, sollevata dal Presidente del Consiglio dei ministri, in relazione all'art. 117, secondo comma, lettera g), della Costituzione, con il ricorso indicato in epigrafe.</w:t>
      </w:r>
    </w:p>
    <w:p w14:paraId="17052C34" w14:textId="77777777" w:rsidR="00D42F6F" w:rsidRDefault="00D42F6F" w:rsidP="00D42F6F">
      <w:pPr>
        <w:jc w:val="both"/>
      </w:pPr>
    </w:p>
    <w:p w14:paraId="3C7D91E5" w14:textId="77777777" w:rsidR="00D42F6F" w:rsidRDefault="00D42F6F" w:rsidP="00D42F6F">
      <w:pPr>
        <w:jc w:val="both"/>
      </w:pPr>
      <w:r>
        <w:t>Così deciso in Roma, nella sede della Corte costituzionale, Palazzo della Consulta, il 21 giugno 2006.</w:t>
      </w:r>
    </w:p>
    <w:p w14:paraId="3852D136" w14:textId="77777777" w:rsidR="00D42F6F" w:rsidRDefault="00D42F6F" w:rsidP="00D42F6F">
      <w:pPr>
        <w:jc w:val="both"/>
      </w:pPr>
    </w:p>
    <w:p w14:paraId="5C30E858" w14:textId="77777777" w:rsidR="00D42F6F" w:rsidRDefault="00D42F6F" w:rsidP="00D42F6F">
      <w:pPr>
        <w:jc w:val="both"/>
      </w:pPr>
      <w:r>
        <w:t>F.to:</w:t>
      </w:r>
    </w:p>
    <w:p w14:paraId="5B4E6F1A" w14:textId="77777777" w:rsidR="00D42F6F" w:rsidRDefault="00D42F6F" w:rsidP="00D42F6F">
      <w:pPr>
        <w:jc w:val="both"/>
      </w:pPr>
    </w:p>
    <w:p w14:paraId="6B09314D" w14:textId="77777777" w:rsidR="00D42F6F" w:rsidRDefault="00D42F6F" w:rsidP="00D42F6F">
      <w:pPr>
        <w:jc w:val="both"/>
      </w:pPr>
      <w:r>
        <w:t>Annibale MARINI, Presidente</w:t>
      </w:r>
    </w:p>
    <w:p w14:paraId="5AB556A6" w14:textId="77777777" w:rsidR="00D42F6F" w:rsidRDefault="00D42F6F" w:rsidP="00D42F6F">
      <w:pPr>
        <w:jc w:val="both"/>
      </w:pPr>
    </w:p>
    <w:p w14:paraId="79CA0BEC" w14:textId="77777777" w:rsidR="00D42F6F" w:rsidRDefault="00D42F6F" w:rsidP="00D42F6F">
      <w:pPr>
        <w:jc w:val="both"/>
      </w:pPr>
      <w:r>
        <w:t>Ugo DE SIERVO, Redattore</w:t>
      </w:r>
    </w:p>
    <w:p w14:paraId="573852F8" w14:textId="77777777" w:rsidR="00D42F6F" w:rsidRDefault="00D42F6F" w:rsidP="00D42F6F">
      <w:pPr>
        <w:jc w:val="both"/>
      </w:pPr>
    </w:p>
    <w:p w14:paraId="26D3E636" w14:textId="77777777" w:rsidR="00D42F6F" w:rsidRDefault="00D42F6F" w:rsidP="00D42F6F">
      <w:pPr>
        <w:jc w:val="both"/>
      </w:pPr>
      <w:r>
        <w:t>Giuseppe DI PAOLA, Cancelliere</w:t>
      </w:r>
    </w:p>
    <w:p w14:paraId="2A337199" w14:textId="77777777" w:rsidR="00D42F6F" w:rsidRDefault="00D42F6F" w:rsidP="00D42F6F">
      <w:pPr>
        <w:jc w:val="both"/>
      </w:pPr>
    </w:p>
    <w:p w14:paraId="1299B51B" w14:textId="77777777" w:rsidR="00D42F6F" w:rsidRDefault="00D42F6F" w:rsidP="00D42F6F">
      <w:pPr>
        <w:jc w:val="both"/>
      </w:pPr>
      <w:r>
        <w:t>Depositata in Cancelleria il 28 giugno 2006.</w:t>
      </w:r>
    </w:p>
    <w:p w14:paraId="2DC57AF7" w14:textId="77777777" w:rsidR="00D42F6F" w:rsidRDefault="00D42F6F" w:rsidP="00D42F6F">
      <w:pPr>
        <w:jc w:val="both"/>
      </w:pPr>
    </w:p>
    <w:p w14:paraId="0C0B2B61" w14:textId="77777777" w:rsidR="00D42F6F" w:rsidRDefault="00D42F6F" w:rsidP="00D42F6F">
      <w:pPr>
        <w:jc w:val="both"/>
      </w:pPr>
      <w:r>
        <w:t>Il Direttore della Cancelleria</w:t>
      </w:r>
    </w:p>
    <w:p w14:paraId="238BCCF5" w14:textId="77777777" w:rsidR="00D42F6F" w:rsidRDefault="00D42F6F" w:rsidP="00D42F6F">
      <w:pPr>
        <w:jc w:val="both"/>
      </w:pPr>
    </w:p>
    <w:p w14:paraId="1FD287FC" w14:textId="454286A1" w:rsidR="00D42F6F" w:rsidRPr="008150DF" w:rsidRDefault="00D42F6F" w:rsidP="00D42F6F">
      <w:pPr>
        <w:jc w:val="both"/>
      </w:pPr>
      <w:r>
        <w:t>F.to: DI PAOLA</w:t>
      </w:r>
    </w:p>
    <w:p w14:paraId="3333FF17" w14:textId="77777777" w:rsidR="00B50B1F" w:rsidRDefault="00B50B1F" w:rsidP="001425EE">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12A"/>
    <w:rsid w:val="00072AC8"/>
    <w:rsid w:val="000C7A54"/>
    <w:rsid w:val="001425EE"/>
    <w:rsid w:val="001C6F3F"/>
    <w:rsid w:val="006C59FE"/>
    <w:rsid w:val="008150DF"/>
    <w:rsid w:val="00B50B1F"/>
    <w:rsid w:val="00CD312A"/>
    <w:rsid w:val="00D42F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9A3FA"/>
  <w15:chartTrackingRefBased/>
  <w15:docId w15:val="{189900C8-3E0A-4A22-9276-5D9F3EB3E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D31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D31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D312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D312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D312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D312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D312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D312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D312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D312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D312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D312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D312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D312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D312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D312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D312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D312A"/>
    <w:rPr>
      <w:rFonts w:eastAsiaTheme="majorEastAsia" w:cstheme="majorBidi"/>
      <w:color w:val="272727" w:themeColor="text1" w:themeTint="D8"/>
    </w:rPr>
  </w:style>
  <w:style w:type="paragraph" w:styleId="Titolo">
    <w:name w:val="Title"/>
    <w:basedOn w:val="Normale"/>
    <w:next w:val="Normale"/>
    <w:link w:val="TitoloCarattere"/>
    <w:uiPriority w:val="10"/>
    <w:qFormat/>
    <w:rsid w:val="00CD31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D312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D312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D312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D312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D312A"/>
    <w:rPr>
      <w:i/>
      <w:iCs/>
      <w:color w:val="404040" w:themeColor="text1" w:themeTint="BF"/>
    </w:rPr>
  </w:style>
  <w:style w:type="paragraph" w:styleId="Paragrafoelenco">
    <w:name w:val="List Paragraph"/>
    <w:basedOn w:val="Normale"/>
    <w:uiPriority w:val="34"/>
    <w:qFormat/>
    <w:rsid w:val="00CD312A"/>
    <w:pPr>
      <w:ind w:left="720"/>
      <w:contextualSpacing/>
    </w:pPr>
  </w:style>
  <w:style w:type="character" w:styleId="Enfasiintensa">
    <w:name w:val="Intense Emphasis"/>
    <w:basedOn w:val="Carpredefinitoparagrafo"/>
    <w:uiPriority w:val="21"/>
    <w:qFormat/>
    <w:rsid w:val="00CD312A"/>
    <w:rPr>
      <w:i/>
      <w:iCs/>
      <w:color w:val="0F4761" w:themeColor="accent1" w:themeShade="BF"/>
    </w:rPr>
  </w:style>
  <w:style w:type="paragraph" w:styleId="Citazioneintensa">
    <w:name w:val="Intense Quote"/>
    <w:basedOn w:val="Normale"/>
    <w:next w:val="Normale"/>
    <w:link w:val="CitazioneintensaCarattere"/>
    <w:uiPriority w:val="30"/>
    <w:qFormat/>
    <w:rsid w:val="00CD31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D312A"/>
    <w:rPr>
      <w:i/>
      <w:iCs/>
      <w:color w:val="0F4761" w:themeColor="accent1" w:themeShade="BF"/>
    </w:rPr>
  </w:style>
  <w:style w:type="character" w:styleId="Riferimentointenso">
    <w:name w:val="Intense Reference"/>
    <w:basedOn w:val="Carpredefinitoparagrafo"/>
    <w:uiPriority w:val="32"/>
    <w:qFormat/>
    <w:rsid w:val="00CD312A"/>
    <w:rPr>
      <w:b/>
      <w:bCs/>
      <w:smallCaps/>
      <w:color w:val="0F4761" w:themeColor="accent1" w:themeShade="BF"/>
      <w:spacing w:val="5"/>
    </w:rPr>
  </w:style>
  <w:style w:type="character" w:styleId="Collegamentoipertestuale">
    <w:name w:val="Hyperlink"/>
    <w:basedOn w:val="Carpredefinitoparagrafo"/>
    <w:uiPriority w:val="99"/>
    <w:unhideWhenUsed/>
    <w:rsid w:val="008150DF"/>
    <w:rPr>
      <w:color w:val="467886" w:themeColor="hyperlink"/>
      <w:u w:val="single"/>
    </w:rPr>
  </w:style>
  <w:style w:type="character" w:styleId="Menzionenonrisolta">
    <w:name w:val="Unresolved Mention"/>
    <w:basedOn w:val="Carpredefinitoparagrafo"/>
    <w:uiPriority w:val="99"/>
    <w:semiHidden/>
    <w:unhideWhenUsed/>
    <w:rsid w:val="008150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15">
      <w:bodyDiv w:val="1"/>
      <w:marLeft w:val="0"/>
      <w:marRight w:val="0"/>
      <w:marTop w:val="0"/>
      <w:marBottom w:val="0"/>
      <w:divBdr>
        <w:top w:val="none" w:sz="0" w:space="0" w:color="auto"/>
        <w:left w:val="none" w:sz="0" w:space="0" w:color="auto"/>
        <w:bottom w:val="none" w:sz="0" w:space="0" w:color="auto"/>
        <w:right w:val="none" w:sz="0" w:space="0" w:color="auto"/>
      </w:divBdr>
      <w:divsChild>
        <w:div w:id="1791315778">
          <w:marLeft w:val="0"/>
          <w:marRight w:val="0"/>
          <w:marTop w:val="0"/>
          <w:marBottom w:val="1500"/>
          <w:divBdr>
            <w:top w:val="none" w:sz="0" w:space="0" w:color="auto"/>
            <w:left w:val="none" w:sz="0" w:space="0" w:color="auto"/>
            <w:bottom w:val="none" w:sz="0" w:space="0" w:color="auto"/>
            <w:right w:val="none" w:sz="0" w:space="0" w:color="auto"/>
          </w:divBdr>
          <w:divsChild>
            <w:div w:id="1291936511">
              <w:marLeft w:val="-225"/>
              <w:marRight w:val="-225"/>
              <w:marTop w:val="0"/>
              <w:marBottom w:val="0"/>
              <w:divBdr>
                <w:top w:val="none" w:sz="0" w:space="0" w:color="auto"/>
                <w:left w:val="none" w:sz="0" w:space="0" w:color="auto"/>
                <w:bottom w:val="none" w:sz="0" w:space="0" w:color="auto"/>
                <w:right w:val="none" w:sz="0" w:space="0" w:color="auto"/>
              </w:divBdr>
              <w:divsChild>
                <w:div w:id="958225119">
                  <w:marLeft w:val="0"/>
                  <w:marRight w:val="0"/>
                  <w:marTop w:val="0"/>
                  <w:marBottom w:val="0"/>
                  <w:divBdr>
                    <w:top w:val="none" w:sz="0" w:space="0" w:color="auto"/>
                    <w:left w:val="none" w:sz="0" w:space="0" w:color="auto"/>
                    <w:bottom w:val="none" w:sz="0" w:space="0" w:color="auto"/>
                    <w:right w:val="none" w:sz="0" w:space="0" w:color="auto"/>
                  </w:divBdr>
                  <w:divsChild>
                    <w:div w:id="1490828013">
                      <w:marLeft w:val="0"/>
                      <w:marRight w:val="0"/>
                      <w:marTop w:val="0"/>
                      <w:marBottom w:val="0"/>
                      <w:divBdr>
                        <w:top w:val="none" w:sz="0" w:space="0" w:color="auto"/>
                        <w:left w:val="none" w:sz="0" w:space="0" w:color="auto"/>
                        <w:bottom w:val="none" w:sz="0" w:space="0" w:color="auto"/>
                        <w:right w:val="none" w:sz="0" w:space="0" w:color="auto"/>
                      </w:divBdr>
                      <w:divsChild>
                        <w:div w:id="1821000020">
                          <w:marLeft w:val="0"/>
                          <w:marRight w:val="0"/>
                          <w:marTop w:val="0"/>
                          <w:marBottom w:val="0"/>
                          <w:divBdr>
                            <w:top w:val="none" w:sz="0" w:space="0" w:color="auto"/>
                            <w:left w:val="none" w:sz="0" w:space="0" w:color="auto"/>
                            <w:bottom w:val="none" w:sz="0" w:space="0" w:color="auto"/>
                            <w:right w:val="none" w:sz="0" w:space="0" w:color="auto"/>
                          </w:divBdr>
                          <w:divsChild>
                            <w:div w:id="1295678479">
                              <w:marLeft w:val="0"/>
                              <w:marRight w:val="0"/>
                              <w:marTop w:val="0"/>
                              <w:marBottom w:val="0"/>
                              <w:divBdr>
                                <w:top w:val="none" w:sz="0" w:space="0" w:color="auto"/>
                                <w:left w:val="none" w:sz="0" w:space="0" w:color="auto"/>
                                <w:bottom w:val="none" w:sz="0" w:space="0" w:color="auto"/>
                                <w:right w:val="none" w:sz="0" w:space="0" w:color="auto"/>
                              </w:divBdr>
                              <w:divsChild>
                                <w:div w:id="195247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9216640">
          <w:marLeft w:val="0"/>
          <w:marRight w:val="0"/>
          <w:marTop w:val="0"/>
          <w:marBottom w:val="0"/>
          <w:divBdr>
            <w:top w:val="none" w:sz="0" w:space="0" w:color="auto"/>
            <w:left w:val="none" w:sz="0" w:space="0" w:color="auto"/>
            <w:bottom w:val="none" w:sz="0" w:space="0" w:color="auto"/>
            <w:right w:val="none" w:sz="0" w:space="0" w:color="auto"/>
          </w:divBdr>
          <w:divsChild>
            <w:div w:id="346491617">
              <w:marLeft w:val="-225"/>
              <w:marRight w:val="-225"/>
              <w:marTop w:val="0"/>
              <w:marBottom w:val="0"/>
              <w:divBdr>
                <w:top w:val="none" w:sz="0" w:space="0" w:color="auto"/>
                <w:left w:val="none" w:sz="0" w:space="0" w:color="auto"/>
                <w:bottom w:val="none" w:sz="0" w:space="0" w:color="auto"/>
                <w:right w:val="none" w:sz="0" w:space="0" w:color="auto"/>
              </w:divBdr>
              <w:divsChild>
                <w:div w:id="97657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066898">
      <w:bodyDiv w:val="1"/>
      <w:marLeft w:val="0"/>
      <w:marRight w:val="0"/>
      <w:marTop w:val="0"/>
      <w:marBottom w:val="0"/>
      <w:divBdr>
        <w:top w:val="none" w:sz="0" w:space="0" w:color="auto"/>
        <w:left w:val="none" w:sz="0" w:space="0" w:color="auto"/>
        <w:bottom w:val="none" w:sz="0" w:space="0" w:color="auto"/>
        <w:right w:val="none" w:sz="0" w:space="0" w:color="auto"/>
      </w:divBdr>
      <w:divsChild>
        <w:div w:id="32997176">
          <w:marLeft w:val="0"/>
          <w:marRight w:val="0"/>
          <w:marTop w:val="0"/>
          <w:marBottom w:val="1500"/>
          <w:divBdr>
            <w:top w:val="none" w:sz="0" w:space="0" w:color="auto"/>
            <w:left w:val="none" w:sz="0" w:space="0" w:color="auto"/>
            <w:bottom w:val="none" w:sz="0" w:space="0" w:color="auto"/>
            <w:right w:val="none" w:sz="0" w:space="0" w:color="auto"/>
          </w:divBdr>
          <w:divsChild>
            <w:div w:id="1919288861">
              <w:marLeft w:val="-225"/>
              <w:marRight w:val="-225"/>
              <w:marTop w:val="0"/>
              <w:marBottom w:val="0"/>
              <w:divBdr>
                <w:top w:val="none" w:sz="0" w:space="0" w:color="auto"/>
                <w:left w:val="none" w:sz="0" w:space="0" w:color="auto"/>
                <w:bottom w:val="none" w:sz="0" w:space="0" w:color="auto"/>
                <w:right w:val="none" w:sz="0" w:space="0" w:color="auto"/>
              </w:divBdr>
              <w:divsChild>
                <w:div w:id="1122455637">
                  <w:marLeft w:val="0"/>
                  <w:marRight w:val="0"/>
                  <w:marTop w:val="0"/>
                  <w:marBottom w:val="0"/>
                  <w:divBdr>
                    <w:top w:val="none" w:sz="0" w:space="0" w:color="auto"/>
                    <w:left w:val="none" w:sz="0" w:space="0" w:color="auto"/>
                    <w:bottom w:val="none" w:sz="0" w:space="0" w:color="auto"/>
                    <w:right w:val="none" w:sz="0" w:space="0" w:color="auto"/>
                  </w:divBdr>
                  <w:divsChild>
                    <w:div w:id="1276862112">
                      <w:marLeft w:val="0"/>
                      <w:marRight w:val="0"/>
                      <w:marTop w:val="0"/>
                      <w:marBottom w:val="0"/>
                      <w:divBdr>
                        <w:top w:val="none" w:sz="0" w:space="0" w:color="auto"/>
                        <w:left w:val="none" w:sz="0" w:space="0" w:color="auto"/>
                        <w:bottom w:val="none" w:sz="0" w:space="0" w:color="auto"/>
                        <w:right w:val="none" w:sz="0" w:space="0" w:color="auto"/>
                      </w:divBdr>
                      <w:divsChild>
                        <w:div w:id="1368414560">
                          <w:marLeft w:val="0"/>
                          <w:marRight w:val="0"/>
                          <w:marTop w:val="0"/>
                          <w:marBottom w:val="0"/>
                          <w:divBdr>
                            <w:top w:val="none" w:sz="0" w:space="0" w:color="auto"/>
                            <w:left w:val="none" w:sz="0" w:space="0" w:color="auto"/>
                            <w:bottom w:val="none" w:sz="0" w:space="0" w:color="auto"/>
                            <w:right w:val="none" w:sz="0" w:space="0" w:color="auto"/>
                          </w:divBdr>
                          <w:divsChild>
                            <w:div w:id="577056219">
                              <w:marLeft w:val="0"/>
                              <w:marRight w:val="0"/>
                              <w:marTop w:val="0"/>
                              <w:marBottom w:val="0"/>
                              <w:divBdr>
                                <w:top w:val="none" w:sz="0" w:space="0" w:color="auto"/>
                                <w:left w:val="none" w:sz="0" w:space="0" w:color="auto"/>
                                <w:bottom w:val="none" w:sz="0" w:space="0" w:color="auto"/>
                                <w:right w:val="none" w:sz="0" w:space="0" w:color="auto"/>
                              </w:divBdr>
                              <w:divsChild>
                                <w:div w:id="198450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0453251">
          <w:marLeft w:val="0"/>
          <w:marRight w:val="0"/>
          <w:marTop w:val="0"/>
          <w:marBottom w:val="0"/>
          <w:divBdr>
            <w:top w:val="none" w:sz="0" w:space="0" w:color="auto"/>
            <w:left w:val="none" w:sz="0" w:space="0" w:color="auto"/>
            <w:bottom w:val="none" w:sz="0" w:space="0" w:color="auto"/>
            <w:right w:val="none" w:sz="0" w:space="0" w:color="auto"/>
          </w:divBdr>
          <w:divsChild>
            <w:div w:id="11691909">
              <w:marLeft w:val="-225"/>
              <w:marRight w:val="-225"/>
              <w:marTop w:val="0"/>
              <w:marBottom w:val="0"/>
              <w:divBdr>
                <w:top w:val="none" w:sz="0" w:space="0" w:color="auto"/>
                <w:left w:val="none" w:sz="0" w:space="0" w:color="auto"/>
                <w:bottom w:val="none" w:sz="0" w:space="0" w:color="auto"/>
                <w:right w:val="none" w:sz="0" w:space="0" w:color="auto"/>
              </w:divBdr>
              <w:divsChild>
                <w:div w:id="114990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1359</Words>
  <Characters>7752</Characters>
  <Application>Microsoft Office Word</Application>
  <DocSecurity>0</DocSecurity>
  <Lines>64</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4</cp:revision>
  <dcterms:created xsi:type="dcterms:W3CDTF">2025-10-09T17:00:00Z</dcterms:created>
  <dcterms:modified xsi:type="dcterms:W3CDTF">2025-10-16T17:20:00Z</dcterms:modified>
</cp:coreProperties>
</file>