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A713DE" w14:textId="77777777" w:rsidR="00DF3C60" w:rsidRPr="00DF3C60" w:rsidRDefault="00DF3C60" w:rsidP="00FD4A2A">
      <w:pPr>
        <w:jc w:val="both"/>
      </w:pPr>
      <w:r w:rsidRPr="00DF3C60">
        <w:t>SENTENZA N. 284</w:t>
      </w:r>
    </w:p>
    <w:p w14:paraId="7DB205F0" w14:textId="77777777" w:rsidR="00DF3C60" w:rsidRPr="00DF3C60" w:rsidRDefault="00DF3C60" w:rsidP="00FD4A2A">
      <w:pPr>
        <w:jc w:val="both"/>
      </w:pPr>
      <w:r w:rsidRPr="00DF3C60">
        <w:t>ANNO 2016</w:t>
      </w:r>
    </w:p>
    <w:p w14:paraId="319AB44F" w14:textId="77777777" w:rsidR="00DF3C60" w:rsidRPr="00DF3C60" w:rsidRDefault="00DF3C60" w:rsidP="00FD4A2A">
      <w:pPr>
        <w:jc w:val="both"/>
      </w:pPr>
      <w:r w:rsidRPr="00DF3C60">
        <w:t> </w:t>
      </w:r>
    </w:p>
    <w:p w14:paraId="170418BD" w14:textId="77777777" w:rsidR="00DF3C60" w:rsidRPr="00DF3C60" w:rsidRDefault="00DF3C60" w:rsidP="00FD4A2A">
      <w:pPr>
        <w:jc w:val="both"/>
      </w:pPr>
      <w:r w:rsidRPr="00DF3C60">
        <w:t>REPUBBLICA ITALIANA</w:t>
      </w:r>
    </w:p>
    <w:p w14:paraId="1335BC91" w14:textId="77777777" w:rsidR="00DF3C60" w:rsidRPr="00DF3C60" w:rsidRDefault="00DF3C60" w:rsidP="00FD4A2A">
      <w:pPr>
        <w:jc w:val="both"/>
      </w:pPr>
      <w:r w:rsidRPr="00DF3C60">
        <w:t>IN NOME DEL POPOLO ITALIANO</w:t>
      </w:r>
    </w:p>
    <w:p w14:paraId="0F8FB91B" w14:textId="77777777" w:rsidR="00DF3C60" w:rsidRPr="00DF3C60" w:rsidRDefault="00DF3C60" w:rsidP="00FD4A2A">
      <w:pPr>
        <w:jc w:val="both"/>
      </w:pPr>
      <w:r w:rsidRPr="00DF3C60">
        <w:t>LA CORTE COSTITUZIONALE</w:t>
      </w:r>
    </w:p>
    <w:p w14:paraId="17BCFDA7" w14:textId="77777777" w:rsidR="00DF3C60" w:rsidRPr="00DF3C60" w:rsidRDefault="00DF3C60" w:rsidP="00FD4A2A">
      <w:pPr>
        <w:jc w:val="both"/>
      </w:pPr>
      <w:r w:rsidRPr="00DF3C60">
        <w:t>composta dai signori:</w:t>
      </w:r>
    </w:p>
    <w:p w14:paraId="485BB607" w14:textId="77777777" w:rsidR="00DF3C60" w:rsidRPr="00DF3C60" w:rsidRDefault="00DF3C60" w:rsidP="00FD4A2A">
      <w:pPr>
        <w:jc w:val="both"/>
      </w:pPr>
      <w:r w:rsidRPr="00DF3C60">
        <w:t>-           Paolo                           GROSSI                                           Presidente</w:t>
      </w:r>
    </w:p>
    <w:p w14:paraId="0162F387" w14:textId="77777777" w:rsidR="00DF3C60" w:rsidRPr="00DF3C60" w:rsidRDefault="00DF3C60" w:rsidP="00FD4A2A">
      <w:pPr>
        <w:jc w:val="both"/>
      </w:pPr>
      <w:r w:rsidRPr="00DF3C60">
        <w:t>-           Giorgio                        LATTANZI                                        Giudice</w:t>
      </w:r>
    </w:p>
    <w:p w14:paraId="4C25325F" w14:textId="77777777" w:rsidR="00DF3C60" w:rsidRPr="00DF3C60" w:rsidRDefault="00DF3C60" w:rsidP="00FD4A2A">
      <w:pPr>
        <w:jc w:val="both"/>
      </w:pPr>
      <w:r w:rsidRPr="00DF3C60">
        <w:t>-           Aldo                            CAROSI                                                   ”</w:t>
      </w:r>
    </w:p>
    <w:p w14:paraId="4A0A466C" w14:textId="77777777" w:rsidR="00DF3C60" w:rsidRPr="00DF3C60" w:rsidRDefault="00DF3C60" w:rsidP="00FD4A2A">
      <w:pPr>
        <w:jc w:val="both"/>
      </w:pPr>
      <w:r w:rsidRPr="00DF3C60">
        <w:t>-           Marta                           CARTABIA                                             ”</w:t>
      </w:r>
    </w:p>
    <w:p w14:paraId="073C6F5C" w14:textId="77777777" w:rsidR="00DF3C60" w:rsidRPr="00DF3C60" w:rsidRDefault="00DF3C60" w:rsidP="00FD4A2A">
      <w:pPr>
        <w:jc w:val="both"/>
      </w:pPr>
      <w:r w:rsidRPr="00DF3C60">
        <w:t>-           Mario Rosario             MORELLI                                                 ”</w:t>
      </w:r>
    </w:p>
    <w:p w14:paraId="3488D2E5" w14:textId="77777777" w:rsidR="00DF3C60" w:rsidRPr="00DF3C60" w:rsidRDefault="00DF3C60" w:rsidP="00FD4A2A">
      <w:pPr>
        <w:jc w:val="both"/>
      </w:pPr>
      <w:r w:rsidRPr="00DF3C60">
        <w:t>-           Giancarlo                     CORAGGIO                                            ”</w:t>
      </w:r>
    </w:p>
    <w:p w14:paraId="000F770F" w14:textId="77777777" w:rsidR="00DF3C60" w:rsidRPr="00DF3C60" w:rsidRDefault="00DF3C60" w:rsidP="00FD4A2A">
      <w:pPr>
        <w:jc w:val="both"/>
      </w:pPr>
      <w:r w:rsidRPr="00DF3C60">
        <w:t>-           Giuliano                       AMATO                                                   ”</w:t>
      </w:r>
    </w:p>
    <w:p w14:paraId="6C572215" w14:textId="77777777" w:rsidR="00DF3C60" w:rsidRPr="00DF3C60" w:rsidRDefault="00DF3C60" w:rsidP="00FD4A2A">
      <w:pPr>
        <w:jc w:val="both"/>
      </w:pPr>
      <w:r w:rsidRPr="00DF3C60">
        <w:t>-           Silvana                         SCIARRA                                                ”</w:t>
      </w:r>
    </w:p>
    <w:p w14:paraId="65C38334" w14:textId="77777777" w:rsidR="00DF3C60" w:rsidRPr="00DF3C60" w:rsidRDefault="00DF3C60" w:rsidP="00FD4A2A">
      <w:pPr>
        <w:jc w:val="both"/>
      </w:pPr>
      <w:r w:rsidRPr="00DF3C60">
        <w:t>-           Daria                            de PRETIS                                               ”</w:t>
      </w:r>
    </w:p>
    <w:p w14:paraId="188D4805" w14:textId="77777777" w:rsidR="00DF3C60" w:rsidRPr="00DF3C60" w:rsidRDefault="00DF3C60" w:rsidP="00FD4A2A">
      <w:pPr>
        <w:jc w:val="both"/>
      </w:pPr>
      <w:r w:rsidRPr="00DF3C60">
        <w:t>-           Nicolò                          ZANON                                                   ”</w:t>
      </w:r>
    </w:p>
    <w:p w14:paraId="7F10B164" w14:textId="77777777" w:rsidR="00DF3C60" w:rsidRPr="00DF3C60" w:rsidRDefault="00DF3C60" w:rsidP="00FD4A2A">
      <w:pPr>
        <w:jc w:val="both"/>
      </w:pPr>
      <w:r w:rsidRPr="00DF3C60">
        <w:t>-           Augusto Antonio         BARBERA                                              ”</w:t>
      </w:r>
    </w:p>
    <w:p w14:paraId="3E7257C4" w14:textId="77777777" w:rsidR="00DF3C60" w:rsidRPr="00DF3C60" w:rsidRDefault="00DF3C60" w:rsidP="00FD4A2A">
      <w:pPr>
        <w:jc w:val="both"/>
      </w:pPr>
      <w:r w:rsidRPr="00DF3C60">
        <w:t>-           Giulio                          PROSPERETTI                                        ”</w:t>
      </w:r>
    </w:p>
    <w:p w14:paraId="439DDF95" w14:textId="77777777" w:rsidR="00DF3C60" w:rsidRPr="00DF3C60" w:rsidRDefault="00DF3C60" w:rsidP="00FD4A2A">
      <w:pPr>
        <w:jc w:val="both"/>
      </w:pPr>
      <w:r w:rsidRPr="00DF3C60">
        <w:t>ha pronunciato la seguente</w:t>
      </w:r>
    </w:p>
    <w:p w14:paraId="1A9727C1" w14:textId="57F7585C" w:rsidR="00DF3C60" w:rsidRPr="00DF3C60" w:rsidRDefault="00DF3C60" w:rsidP="00FD4A2A">
      <w:pPr>
        <w:jc w:val="both"/>
      </w:pPr>
      <w:r w:rsidRPr="00DF3C60">
        <w:t>SENTENZA</w:t>
      </w:r>
      <w:r w:rsidR="00954172">
        <w:t xml:space="preserve">  67241</w:t>
      </w:r>
    </w:p>
    <w:p w14:paraId="0A6B4C5F" w14:textId="77777777" w:rsidR="00DF3C60" w:rsidRPr="00DF3C60" w:rsidRDefault="00DF3C60" w:rsidP="00FD4A2A">
      <w:pPr>
        <w:jc w:val="both"/>
      </w:pPr>
      <w:r w:rsidRPr="00DF3C60">
        <w:rPr>
          <w:i/>
          <w:iCs/>
        </w:rPr>
        <w:t>Considerato in diritto</w:t>
      </w:r>
    </w:p>
    <w:p w14:paraId="2FE931BD" w14:textId="619808DC" w:rsidR="00C718BD" w:rsidRDefault="00C718BD" w:rsidP="00FD4A2A">
      <w:pPr>
        <w:jc w:val="both"/>
      </w:pPr>
      <w:r>
        <w:t>[…]</w:t>
      </w:r>
    </w:p>
    <w:p w14:paraId="5F3E4A8E" w14:textId="4B20444E" w:rsidR="00DF3C60" w:rsidRPr="00C718BD" w:rsidRDefault="00DF3C60" w:rsidP="00FD4A2A">
      <w:pPr>
        <w:jc w:val="both"/>
        <w:rPr>
          <w:b/>
          <w:bCs/>
        </w:rPr>
      </w:pPr>
      <w:r w:rsidRPr="00C718BD">
        <w:rPr>
          <w:b/>
          <w:bCs/>
        </w:rPr>
        <w:t xml:space="preserve">5.– Ai sensi dell’art. 1, comma 47, «Per favorire le misure di semplificazione e di promozione degli istituti tecnici superiori, con decreto del Ministro dell’istruzione, dell’università e della ricerca, da adottare entro novanta giorni dalla data di entrata in vigore della presente legge, di concerto con il Ministro del lavoro e delle politiche sociali, con il Ministro dello sviluppo economico e con il Ministro dell’economia e delle finanze, previa intesa in sede di Conferenza unificata ai sensi dell’articolo 9 del decreto legislativo 28 agosto 1997, n. 281, sono emanate le </w:t>
      </w:r>
      <w:r w:rsidRPr="00C718BD">
        <w:rPr>
          <w:b/>
          <w:bCs/>
          <w:color w:val="EE0000"/>
        </w:rPr>
        <w:t xml:space="preserve">linee guida </w:t>
      </w:r>
      <w:r w:rsidRPr="00C718BD">
        <w:rPr>
          <w:b/>
          <w:bCs/>
        </w:rPr>
        <w:t>per conseguire i seguenti obiettivi, a sostegno delle politiche di istruzione e formazione sul territorio e dello sviluppo dell’occupazione dei giovani:</w:t>
      </w:r>
    </w:p>
    <w:p w14:paraId="73BF04A0" w14:textId="77777777" w:rsidR="00DF3C60" w:rsidRPr="00AC0FF7" w:rsidRDefault="00DF3C60" w:rsidP="00FD4A2A">
      <w:pPr>
        <w:jc w:val="both"/>
        <w:rPr>
          <w:b/>
          <w:bCs/>
        </w:rPr>
      </w:pPr>
      <w:r w:rsidRPr="00AC0FF7">
        <w:rPr>
          <w:b/>
          <w:bCs/>
          <w:i/>
          <w:iCs/>
        </w:rPr>
        <w:t>a</w:t>
      </w:r>
      <w:r w:rsidRPr="00AC0FF7">
        <w:rPr>
          <w:b/>
          <w:bCs/>
        </w:rPr>
        <w:t>) semplificare e snellire le procedure per lo svolgimento delle prove conclusive dei percorsi attivati dagli istituti tecnici superiori, prevedendo modifiche alla composizione delle commissioni di esame e alla predisposizione e valutazione delle prove di verifica finali;</w:t>
      </w:r>
    </w:p>
    <w:p w14:paraId="158E9130" w14:textId="2841B9A4" w:rsidR="00AC0FF7" w:rsidRPr="00AC0FF7" w:rsidRDefault="00AC0FF7" w:rsidP="00FD4A2A">
      <w:pPr>
        <w:jc w:val="both"/>
        <w:rPr>
          <w:b/>
          <w:bCs/>
        </w:rPr>
      </w:pPr>
      <w:r w:rsidRPr="00AC0FF7">
        <w:rPr>
          <w:b/>
          <w:bCs/>
        </w:rPr>
        <w:t>[etc….]</w:t>
      </w:r>
    </w:p>
    <w:p w14:paraId="18E40072" w14:textId="2D14E47E" w:rsidR="00DF3C60" w:rsidRPr="00C718BD" w:rsidRDefault="00DF3C60" w:rsidP="00FD4A2A">
      <w:pPr>
        <w:jc w:val="both"/>
        <w:rPr>
          <w:b/>
          <w:bCs/>
        </w:rPr>
      </w:pPr>
      <w:r w:rsidRPr="00C718BD">
        <w:rPr>
          <w:b/>
          <w:bCs/>
        </w:rPr>
        <w:lastRenderedPageBreak/>
        <w:t xml:space="preserve">5.1.– Secondo la Regione Puglia, tale disposizione, nella parte in cui affida l’elaborazione di apposite </w:t>
      </w:r>
      <w:r w:rsidRPr="00C718BD">
        <w:rPr>
          <w:b/>
          <w:bCs/>
          <w:color w:val="EE0000"/>
        </w:rPr>
        <w:t xml:space="preserve">linee guida </w:t>
      </w:r>
      <w:r w:rsidRPr="00C718BD">
        <w:rPr>
          <w:b/>
          <w:bCs/>
        </w:rPr>
        <w:t>al Ministro dell’istruzione, per «</w:t>
      </w:r>
      <w:bookmarkStart w:id="0" w:name="_Hlk467140305"/>
      <w:r w:rsidRPr="00C718BD">
        <w:rPr>
          <w:b/>
          <w:bCs/>
          <w:u w:val="single"/>
        </w:rPr>
        <w:t>favorire le misure di semplificazione e di promozione degli istituti tecnici superior</w:t>
      </w:r>
      <w:bookmarkEnd w:id="0"/>
      <w:r w:rsidRPr="00C718BD">
        <w:rPr>
          <w:b/>
          <w:bCs/>
        </w:rPr>
        <w:t>i» in vista della realizzazione degli obiettivi indicati nelle lettere da </w:t>
      </w:r>
      <w:r w:rsidRPr="00C718BD">
        <w:rPr>
          <w:b/>
          <w:bCs/>
          <w:i/>
          <w:iCs/>
        </w:rPr>
        <w:t>a</w:t>
      </w:r>
      <w:r w:rsidRPr="00C718BD">
        <w:rPr>
          <w:b/>
          <w:bCs/>
        </w:rPr>
        <w:t>) a </w:t>
      </w:r>
      <w:r w:rsidRPr="00C718BD">
        <w:rPr>
          <w:b/>
          <w:bCs/>
          <w:i/>
          <w:iCs/>
        </w:rPr>
        <w:t>f</w:t>
      </w:r>
      <w:r w:rsidRPr="00C718BD">
        <w:rPr>
          <w:b/>
          <w:bCs/>
        </w:rPr>
        <w:t xml:space="preserve">) del medesimo comma, violerebbe il combinato disposto dell’art. 117, terzo e sesto comma, Cost., in quanto rimetterebbe ad una fonte sub-legislativa la determinazione di linee guida vincolanti, nell’ambito di una </w:t>
      </w:r>
      <w:r w:rsidRPr="00AC0FF7">
        <w:rPr>
          <w:b/>
          <w:bCs/>
          <w:color w:val="EE0000"/>
        </w:rPr>
        <w:t xml:space="preserve">materia di competenza concorrente </w:t>
      </w:r>
      <w:r w:rsidRPr="00C718BD">
        <w:rPr>
          <w:b/>
          <w:bCs/>
        </w:rPr>
        <w:t>come l’istruzione, nella quale non è consentito al legislatore statale il ricorso a fonti di rango inferiore a quello della legge.</w:t>
      </w:r>
    </w:p>
    <w:p w14:paraId="7DF1C7B0" w14:textId="7C7BA39D" w:rsidR="00DF3C60" w:rsidRPr="00DF3C60" w:rsidRDefault="00DF3C60" w:rsidP="00FD4A2A">
      <w:pPr>
        <w:jc w:val="both"/>
      </w:pPr>
      <w:r w:rsidRPr="00C718BD">
        <w:rPr>
          <w:b/>
          <w:bCs/>
        </w:rPr>
        <w:t>5.2.– La questione non è fondata</w:t>
      </w:r>
      <w:r w:rsidRPr="00DF3C60">
        <w:t>.</w:t>
      </w:r>
      <w:r w:rsidR="00AC0FF7">
        <w:t xml:space="preserve"> </w:t>
      </w:r>
    </w:p>
    <w:p w14:paraId="3F86A692" w14:textId="77777777" w:rsidR="00DF3C60" w:rsidRPr="00C718BD" w:rsidRDefault="00DF3C60" w:rsidP="00FD4A2A">
      <w:pPr>
        <w:jc w:val="both"/>
        <w:rPr>
          <w:b/>
          <w:bCs/>
        </w:rPr>
      </w:pPr>
      <w:r w:rsidRPr="00C718BD">
        <w:rPr>
          <w:b/>
          <w:bCs/>
        </w:rPr>
        <w:t xml:space="preserve">L’art. 117, sesto comma, Cost., infatti, preclude allo Stato, nelle materie di legislazione concorrente, non già l’adozione di qualsivoglia atto sub-legislativo, come assume la Regione, bensì </w:t>
      </w:r>
      <w:r w:rsidRPr="00C718BD">
        <w:rPr>
          <w:b/>
          <w:bCs/>
          <w:color w:val="EE0000"/>
        </w:rPr>
        <w:t>dei soli regolamenti</w:t>
      </w:r>
      <w:r w:rsidRPr="00C718BD">
        <w:rPr>
          <w:b/>
          <w:bCs/>
        </w:rPr>
        <w:t xml:space="preserve">, che sono </w:t>
      </w:r>
      <w:r w:rsidRPr="00C718BD">
        <w:rPr>
          <w:b/>
          <w:bCs/>
          <w:color w:val="EE0000"/>
        </w:rPr>
        <w:t>fonti del diritto</w:t>
      </w:r>
      <w:r w:rsidRPr="00C718BD">
        <w:rPr>
          <w:b/>
          <w:bCs/>
        </w:rPr>
        <w:t xml:space="preserve">, costitutive di un determinato assetto dell’ordinamento. Viceversa, la giurisprudenza di questa Corte ha già identificato nelle </w:t>
      </w:r>
      <w:r w:rsidRPr="00C718BD">
        <w:rPr>
          <w:b/>
          <w:bCs/>
          <w:color w:val="EE0000"/>
        </w:rPr>
        <w:t>linee guida atti esecutivi</w:t>
      </w:r>
      <w:r w:rsidRPr="00C718BD">
        <w:rPr>
          <w:b/>
          <w:bCs/>
        </w:rPr>
        <w:t xml:space="preserve">, secondo alcuni di alta amministrazione, che, in particolari circostanze, «vengono </w:t>
      </w:r>
      <w:r w:rsidRPr="00C718BD">
        <w:rPr>
          <w:b/>
          <w:bCs/>
          <w:color w:val="EE0000"/>
        </w:rPr>
        <w:t xml:space="preserve">strettamente ad integrare </w:t>
      </w:r>
      <w:r w:rsidRPr="00C718BD">
        <w:rPr>
          <w:b/>
          <w:bCs/>
        </w:rPr>
        <w:t>la normativa primaria che ad essi rinvia», affidando loro quelle specificazioni dei suoi principi, di cui esige un’applicazione uniforme (</w:t>
      </w:r>
      <w:hyperlink r:id="rId4" w:history="1">
        <w:r w:rsidRPr="00C718BD">
          <w:rPr>
            <w:rStyle w:val="Collegamentoipertestuale"/>
            <w:b/>
            <w:bCs/>
          </w:rPr>
          <w:t>sentenza n. 11 del 2014</w:t>
        </w:r>
      </w:hyperlink>
      <w:r w:rsidRPr="00C718BD">
        <w:rPr>
          <w:b/>
          <w:bCs/>
        </w:rPr>
        <w:t xml:space="preserve">). Sovente esse implicano </w:t>
      </w:r>
      <w:r w:rsidRPr="00C718BD">
        <w:rPr>
          <w:b/>
          <w:bCs/>
          <w:color w:val="EE0000"/>
        </w:rPr>
        <w:t xml:space="preserve">conoscenze specialistiche </w:t>
      </w:r>
      <w:r w:rsidRPr="00C718BD">
        <w:rPr>
          <w:b/>
          <w:bCs/>
        </w:rPr>
        <w:t>proprie del settore ordinamentale in cui si innestano, e per tale caratteristica mal si conciliano con il diretto contenuto dell’atto legislativo.</w:t>
      </w:r>
    </w:p>
    <w:p w14:paraId="2BB0FDCA" w14:textId="77777777" w:rsidR="00DF3C60" w:rsidRPr="00C718BD" w:rsidRDefault="00DF3C60" w:rsidP="00FD4A2A">
      <w:pPr>
        <w:jc w:val="both"/>
        <w:rPr>
          <w:b/>
          <w:bCs/>
        </w:rPr>
      </w:pPr>
      <w:r w:rsidRPr="00C718BD">
        <w:rPr>
          <w:b/>
          <w:bCs/>
        </w:rPr>
        <w:t>Ebbene, anche le linee guida di cui all’impugnato art. 1, comma 47, costituiscono la necessaria integrazione della norma primaria, per conseguire l’uniforme realizzazione degli obiettivi che essa si prefigge nelle lettere da </w:t>
      </w:r>
      <w:r w:rsidRPr="00C718BD">
        <w:rPr>
          <w:b/>
          <w:bCs/>
          <w:i/>
          <w:iCs/>
        </w:rPr>
        <w:t>a</w:t>
      </w:r>
      <w:r w:rsidRPr="00C718BD">
        <w:rPr>
          <w:b/>
          <w:bCs/>
        </w:rPr>
        <w:t>) ad </w:t>
      </w:r>
      <w:r w:rsidRPr="00C718BD">
        <w:rPr>
          <w:b/>
          <w:bCs/>
          <w:i/>
          <w:iCs/>
        </w:rPr>
        <w:t>f</w:t>
      </w:r>
      <w:r w:rsidRPr="00C718BD">
        <w:rPr>
          <w:b/>
          <w:bCs/>
        </w:rPr>
        <w:t>). Del resto, proprio in ragione della stretta contiguità con la competenza regionale e delle esigenze di partecipazione rafforzata delle Regioni, è previsto che il decreto ministeriale con cui le linee guida sono emanate sia adottato «previa intesa in sede di conferenza unificata» (</w:t>
      </w:r>
      <w:hyperlink r:id="rId5" w:history="1">
        <w:r w:rsidRPr="00C718BD">
          <w:rPr>
            <w:rStyle w:val="Collegamentoipertestuale"/>
            <w:b/>
            <w:bCs/>
          </w:rPr>
          <w:t>sentenza n. 62 del 2013</w:t>
        </w:r>
      </w:hyperlink>
      <w:r w:rsidRPr="00C718BD">
        <w:rPr>
          <w:b/>
          <w:bCs/>
        </w:rPr>
        <w:t>).</w:t>
      </w:r>
    </w:p>
    <w:p w14:paraId="030BB04A" w14:textId="438392A8" w:rsidR="00AC0FF7" w:rsidRDefault="00AC0FF7" w:rsidP="00FD4A2A">
      <w:pPr>
        <w:jc w:val="both"/>
      </w:pPr>
      <w:r>
        <w:t>[…]</w:t>
      </w:r>
    </w:p>
    <w:p w14:paraId="73EFC7B1" w14:textId="2E40B27A" w:rsidR="00DF3C60" w:rsidRPr="00DF3C60" w:rsidRDefault="00DF3C60" w:rsidP="00FD4A2A">
      <w:pPr>
        <w:jc w:val="both"/>
      </w:pPr>
      <w:r w:rsidRPr="00DF3C60">
        <w:t>PER QUESTI MOTIVI</w:t>
      </w:r>
    </w:p>
    <w:p w14:paraId="50CCC72A" w14:textId="77777777" w:rsidR="00DF3C60" w:rsidRPr="00DF3C60" w:rsidRDefault="00DF3C60" w:rsidP="00FD4A2A">
      <w:pPr>
        <w:jc w:val="both"/>
      </w:pPr>
      <w:r w:rsidRPr="00DF3C60">
        <w:t>LA CORTE COSTITUZIONALE</w:t>
      </w:r>
    </w:p>
    <w:p w14:paraId="5B016575" w14:textId="77777777" w:rsidR="00DF3C60" w:rsidRPr="00DF3C60" w:rsidRDefault="00DF3C60" w:rsidP="00FD4A2A">
      <w:pPr>
        <w:jc w:val="both"/>
      </w:pPr>
      <w:r w:rsidRPr="00DF3C60">
        <w:t>riuniti i giudizi,</w:t>
      </w:r>
    </w:p>
    <w:p w14:paraId="5F9E131E" w14:textId="77777777" w:rsidR="00DF3C60" w:rsidRPr="00DF3C60" w:rsidRDefault="00DF3C60" w:rsidP="00FD4A2A">
      <w:pPr>
        <w:jc w:val="both"/>
      </w:pPr>
      <w:r w:rsidRPr="00DF3C60">
        <w:t>1) </w:t>
      </w:r>
      <w:r w:rsidRPr="00DF3C60">
        <w:rPr>
          <w:i/>
          <w:iCs/>
        </w:rPr>
        <w:t>dichiara</w:t>
      </w:r>
      <w:r w:rsidRPr="00DF3C60">
        <w:t> l’illegittimità costituzionale dell’art. 1, comma 153, della legge n. 107 del 2015, nella parte in cui non prevede che il decreto del Ministro dell’istruzione che provvede alla ripartizione delle risorse sia adottato sentita la [Conferenza unificata: parole sostituite dalle seguenti: Conferenza Stato Regioni con </w:t>
      </w:r>
      <w:hyperlink r:id="rId6" w:history="1">
        <w:r w:rsidRPr="00DF3C60">
          <w:rPr>
            <w:rStyle w:val="Collegamentoipertestuale"/>
          </w:rPr>
          <w:t>ordinanza correttiva</w:t>
        </w:r>
      </w:hyperlink>
      <w:r w:rsidRPr="00DF3C60">
        <w:t> n. 217 del 2017];</w:t>
      </w:r>
    </w:p>
    <w:p w14:paraId="4E504907" w14:textId="77777777" w:rsidR="00DF3C60" w:rsidRPr="00DF3C60" w:rsidRDefault="00DF3C60" w:rsidP="00FD4A2A">
      <w:pPr>
        <w:jc w:val="both"/>
      </w:pPr>
      <w:r w:rsidRPr="00DF3C60">
        <w:t>2) </w:t>
      </w:r>
      <w:r w:rsidRPr="00DF3C60">
        <w:rPr>
          <w:i/>
          <w:iCs/>
        </w:rPr>
        <w:t>dichiara</w:t>
      </w:r>
      <w:r w:rsidRPr="00DF3C60">
        <w:t> l’illegittimità costituzionale dell’art. 1, comma 181, lettera </w:t>
      </w:r>
      <w:r w:rsidRPr="00DF3C60">
        <w:rPr>
          <w:i/>
          <w:iCs/>
        </w:rPr>
        <w:t>e</w:t>
      </w:r>
      <w:r w:rsidRPr="00DF3C60">
        <w:t>), n. 1.3), della legge n. 107 del 2015;</w:t>
      </w:r>
    </w:p>
    <w:p w14:paraId="790E774B" w14:textId="77777777" w:rsidR="00DF3C60" w:rsidRPr="00DF3C60" w:rsidRDefault="00DF3C60" w:rsidP="00FD4A2A">
      <w:pPr>
        <w:jc w:val="both"/>
      </w:pPr>
      <w:r w:rsidRPr="00DF3C60">
        <w:t>3) </w:t>
      </w:r>
      <w:r w:rsidRPr="00DF3C60">
        <w:rPr>
          <w:i/>
          <w:iCs/>
        </w:rPr>
        <w:t>dichiara</w:t>
      </w:r>
      <w:r w:rsidRPr="00DF3C60">
        <w:t> inammissibile la questione di legittimità costituzionale dell’art. 1, commi 180 e 181, della legge 13 luglio 2015 n. 107 (Riforma del sistema nazionale di istruzione e formazione e delega per il riordino delle disposizioni legislative vigenti), promossa, in riferimento agli artt. 117, secondo, terzo e quarto comma, 118 e 120, Cost., dalla Regione Veneto, con il ricorso indicato in epigrafe;</w:t>
      </w:r>
    </w:p>
    <w:p w14:paraId="3B036BB6" w14:textId="77777777" w:rsidR="00DF3C60" w:rsidRPr="00DF3C60" w:rsidRDefault="00DF3C60" w:rsidP="00FD4A2A">
      <w:pPr>
        <w:jc w:val="both"/>
      </w:pPr>
      <w:r w:rsidRPr="00DF3C60">
        <w:t>4) </w:t>
      </w:r>
      <w:r w:rsidRPr="00DF3C60">
        <w:rPr>
          <w:i/>
          <w:iCs/>
        </w:rPr>
        <w:t>dichiara</w:t>
      </w:r>
      <w:r w:rsidRPr="00DF3C60">
        <w:t> non fondata la questione di legittimità costituzionale dell’art. 1, comma 29, della legge n. 107 del 2015, promossa, in riferimento agli artt. 117, terzo comma, e 118, primo comma, Cost., dalla Regione Puglia, con il ricorso indicato in epigrafe;</w:t>
      </w:r>
    </w:p>
    <w:p w14:paraId="0D47FB83" w14:textId="77777777" w:rsidR="00DF3C60" w:rsidRPr="00DF3C60" w:rsidRDefault="00DF3C60" w:rsidP="00FD4A2A">
      <w:pPr>
        <w:jc w:val="both"/>
      </w:pPr>
      <w:r w:rsidRPr="00DF3C60">
        <w:t>5) </w:t>
      </w:r>
      <w:r w:rsidRPr="00DF3C60">
        <w:rPr>
          <w:i/>
          <w:iCs/>
        </w:rPr>
        <w:t>dichiara</w:t>
      </w:r>
      <w:r w:rsidRPr="00DF3C60">
        <w:t> non fondata la questione di legittimità costituzionale dell’art. 1, comma 44, della legge n. 107 del 2015, promossa, in riferimento agli artt. 97, 117, terzo e quarto comma, 118, e 120 Cost., dalla Regione Veneto, con il ricorso indicato in epigrafe;</w:t>
      </w:r>
    </w:p>
    <w:p w14:paraId="1D8894A1" w14:textId="77777777" w:rsidR="00DF3C60" w:rsidRPr="00DF3C60" w:rsidRDefault="00DF3C60" w:rsidP="00FD4A2A">
      <w:pPr>
        <w:jc w:val="both"/>
      </w:pPr>
      <w:r w:rsidRPr="00DF3C60">
        <w:t>6) </w:t>
      </w:r>
      <w:r w:rsidRPr="00DF3C60">
        <w:rPr>
          <w:i/>
          <w:iCs/>
        </w:rPr>
        <w:t>dichiara</w:t>
      </w:r>
      <w:r w:rsidRPr="00DF3C60">
        <w:t> non fondata la questione di legittimità costituzionale dell’art. 1, comma 47, della legge n. 107 del 2015, promossa, in riferimento agli artt. 117, comma, nonché al combinato disposto dell’art. 117, terzo e sesto comma, Cost., dalla Regione Puglia, con il ricorso indicato in epigrafe;</w:t>
      </w:r>
    </w:p>
    <w:p w14:paraId="1BBA9545" w14:textId="77777777" w:rsidR="00DF3C60" w:rsidRPr="00DF3C60" w:rsidRDefault="00DF3C60" w:rsidP="00FD4A2A">
      <w:pPr>
        <w:jc w:val="both"/>
      </w:pPr>
      <w:r w:rsidRPr="00DF3C60">
        <w:t>7) </w:t>
      </w:r>
      <w:r w:rsidRPr="00DF3C60">
        <w:rPr>
          <w:i/>
          <w:iCs/>
        </w:rPr>
        <w:t>dichiara</w:t>
      </w:r>
      <w:r w:rsidRPr="00DF3C60">
        <w:t> non fondata la questione di legittimità costituzionale dell’art. 1, comma 47, lettera </w:t>
      </w:r>
      <w:r w:rsidRPr="00DF3C60">
        <w:rPr>
          <w:i/>
          <w:iCs/>
        </w:rPr>
        <w:t>f</w:t>
      </w:r>
      <w:r w:rsidRPr="00DF3C60">
        <w:t>), della legge n. 107 del 2015, promossa, in riferimento agli artt. 97, 117, secondo, terzo e quarto comma, 118 e 120 Cost., dalla Regione Veneto, con il ricorso indicato in epigrafe;</w:t>
      </w:r>
    </w:p>
    <w:p w14:paraId="5FFD350E" w14:textId="77777777" w:rsidR="00DF3C60" w:rsidRPr="00DF3C60" w:rsidRDefault="00DF3C60" w:rsidP="00FD4A2A">
      <w:pPr>
        <w:jc w:val="both"/>
      </w:pPr>
      <w:r w:rsidRPr="00DF3C60">
        <w:t>8) </w:t>
      </w:r>
      <w:r w:rsidRPr="00DF3C60">
        <w:rPr>
          <w:i/>
          <w:iCs/>
        </w:rPr>
        <w:t>dichiara</w:t>
      </w:r>
      <w:r w:rsidRPr="00DF3C60">
        <w:t> non fondate le questioni di legittimità costituzionale dell’art. 1, comma 66, della legge n. 107 del 2015, promosse, in riferimento agli artt. 97, 117, terzo comma, 118, primo comma, e 120, Cost., dalle Regioni Veneto e Puglia, con i ricorsi indicati in epigrafe;</w:t>
      </w:r>
    </w:p>
    <w:p w14:paraId="0FE954BF" w14:textId="77777777" w:rsidR="00DF3C60" w:rsidRPr="00DF3C60" w:rsidRDefault="00DF3C60" w:rsidP="00FD4A2A">
      <w:pPr>
        <w:jc w:val="both"/>
      </w:pPr>
      <w:r w:rsidRPr="00DF3C60">
        <w:t>9) </w:t>
      </w:r>
      <w:r w:rsidRPr="00DF3C60">
        <w:rPr>
          <w:i/>
          <w:iCs/>
        </w:rPr>
        <w:t>dichiara</w:t>
      </w:r>
      <w:r w:rsidRPr="00DF3C60">
        <w:t> non fondata la questione di legittimità costituzionale dell’art. 1, comma 68, della legge n. 107 del 2015, promossa, in riferimento all’art. 117, terzo comma, nonché al combinato disposto dell’art. 117, terzo comma e 118, primo comma, Cost., dalla Regione Puglia, con il ricorso indicato in epigrafe;</w:t>
      </w:r>
    </w:p>
    <w:p w14:paraId="0564E421" w14:textId="77777777" w:rsidR="00DF3C60" w:rsidRPr="00DF3C60" w:rsidRDefault="00DF3C60" w:rsidP="00FD4A2A">
      <w:pPr>
        <w:jc w:val="both"/>
      </w:pPr>
      <w:r w:rsidRPr="00DF3C60">
        <w:t>10) </w:t>
      </w:r>
      <w:r w:rsidRPr="00DF3C60">
        <w:rPr>
          <w:i/>
          <w:iCs/>
        </w:rPr>
        <w:t>dichiara</w:t>
      </w:r>
      <w:r w:rsidRPr="00DF3C60">
        <w:t> non fondata la questione di legittimità costituzionale dell’art. 1, comma 69, della legge n. 107 del 2015, promossa, in riferimento all’art. 117, terzo comma, nonché al combinato disposto dell’art. 117, terzo comma e 118, primo comma, Cost., dalla Regione Puglia, con il ricorso indicato in epigrafe;</w:t>
      </w:r>
    </w:p>
    <w:p w14:paraId="0A907712" w14:textId="77777777" w:rsidR="00DF3C60" w:rsidRPr="00DF3C60" w:rsidRDefault="00DF3C60" w:rsidP="00FD4A2A">
      <w:pPr>
        <w:jc w:val="both"/>
      </w:pPr>
      <w:r w:rsidRPr="00DF3C60">
        <w:t>11) </w:t>
      </w:r>
      <w:r w:rsidRPr="00DF3C60">
        <w:rPr>
          <w:i/>
          <w:iCs/>
        </w:rPr>
        <w:t>dichiara</w:t>
      </w:r>
      <w:r w:rsidRPr="00DF3C60">
        <w:t> non fondata la questione di legittimità costituzionale dell’art. 1, comma 74, della legge n. 107 del 2015, promossa, in riferimento all’art. 117, terzo comma, nonché al combinato disposto dell’art. 117, terzo comma e 118, primo comma, Cost., dalla Regione Puglia, con il ricorso indicato in epigrafe;</w:t>
      </w:r>
    </w:p>
    <w:p w14:paraId="6334A00A" w14:textId="77777777" w:rsidR="00DF3C60" w:rsidRPr="00DF3C60" w:rsidRDefault="00DF3C60" w:rsidP="00FD4A2A">
      <w:pPr>
        <w:jc w:val="both"/>
      </w:pPr>
      <w:r w:rsidRPr="00DF3C60">
        <w:t>12) </w:t>
      </w:r>
      <w:r w:rsidRPr="00DF3C60">
        <w:rPr>
          <w:i/>
          <w:iCs/>
        </w:rPr>
        <w:t>dichiara</w:t>
      </w:r>
      <w:r w:rsidRPr="00DF3C60">
        <w:t> non fondata la questione di legittimità costituzionale dell’art. 1, comma 126, della legge n. 107 del 2015, promossa, in riferimento all’art. 117, terzo comma, e 119, Cost., dalla Regione Puglia, con il ricorso indicato in epigrafe;</w:t>
      </w:r>
    </w:p>
    <w:p w14:paraId="74EC89CE" w14:textId="77777777" w:rsidR="00DF3C60" w:rsidRPr="00DF3C60" w:rsidRDefault="00DF3C60" w:rsidP="00FD4A2A">
      <w:pPr>
        <w:jc w:val="both"/>
      </w:pPr>
      <w:r w:rsidRPr="00DF3C60">
        <w:t>13) </w:t>
      </w:r>
      <w:r w:rsidRPr="00DF3C60">
        <w:rPr>
          <w:i/>
          <w:iCs/>
        </w:rPr>
        <w:t>dichiara</w:t>
      </w:r>
      <w:r w:rsidRPr="00DF3C60">
        <w:t> non fondata la questione di legittimità costituzionale dell’art. 1, comma 155, della legge n. 107 del 2015, promossa, in riferimento all’art. 117, terzo comma, e 118, primo comma, Cost., dalla Regione Puglia, con il ricorso indicato in epigrafe;</w:t>
      </w:r>
    </w:p>
    <w:p w14:paraId="316F8C70" w14:textId="77777777" w:rsidR="00DF3C60" w:rsidRPr="00DF3C60" w:rsidRDefault="00DF3C60" w:rsidP="00FD4A2A">
      <w:pPr>
        <w:jc w:val="both"/>
      </w:pPr>
      <w:r w:rsidRPr="00DF3C60">
        <w:t>14) </w:t>
      </w:r>
      <w:r w:rsidRPr="00DF3C60">
        <w:rPr>
          <w:i/>
          <w:iCs/>
        </w:rPr>
        <w:t>dichiara</w:t>
      </w:r>
      <w:r w:rsidRPr="00DF3C60">
        <w:t> non fondate le questioni di legittimità costituzionale dell’art. 1, commi 162 e 171, della legge n. 107 del 2015, promosse, in riferimento agli artt. 117, terzo comma, e 119, Cost., dalla Regione Puglia, con il ricorso indicato in epigrafe;</w:t>
      </w:r>
    </w:p>
    <w:p w14:paraId="1F6B6E0B" w14:textId="77777777" w:rsidR="00DF3C60" w:rsidRPr="00DF3C60" w:rsidRDefault="00DF3C60" w:rsidP="00FD4A2A">
      <w:pPr>
        <w:jc w:val="both"/>
      </w:pPr>
      <w:r w:rsidRPr="00DF3C60">
        <w:t>15) </w:t>
      </w:r>
      <w:r w:rsidRPr="00DF3C60">
        <w:rPr>
          <w:i/>
          <w:iCs/>
        </w:rPr>
        <w:t>dichiara</w:t>
      </w:r>
      <w:r w:rsidRPr="00DF3C60">
        <w:t> non fondata, nei sensi di cui in motivazione, la questione di legittimità costituzionale dell’art. 1, comma 183, della legge n. 107 del 2015, promossa, in riferimento agli artt. 117, terzo e sesto comma, Cost., dalla Regione Puglia, con il ricorso indicato in epigrafe.</w:t>
      </w:r>
    </w:p>
    <w:p w14:paraId="77696F2A" w14:textId="77777777" w:rsidR="00DF3C60" w:rsidRPr="00DF3C60" w:rsidRDefault="00DF3C60" w:rsidP="00FD4A2A">
      <w:pPr>
        <w:jc w:val="both"/>
      </w:pPr>
      <w:r w:rsidRPr="00DF3C60">
        <w:t>Così deciso in Roma, nella sede della Corte costituzionale, Palazzo della Consulta, il 22 novembre 2016.</w:t>
      </w:r>
    </w:p>
    <w:p w14:paraId="22DA8FED" w14:textId="77777777" w:rsidR="00DF3C60" w:rsidRPr="00DF3C60" w:rsidRDefault="00DF3C60" w:rsidP="00FD4A2A">
      <w:pPr>
        <w:jc w:val="both"/>
      </w:pPr>
      <w:r w:rsidRPr="00DF3C60">
        <w:t>F.to:</w:t>
      </w:r>
    </w:p>
    <w:p w14:paraId="35D03FB4" w14:textId="77777777" w:rsidR="00DF3C60" w:rsidRPr="00DF3C60" w:rsidRDefault="00DF3C60" w:rsidP="00FD4A2A">
      <w:pPr>
        <w:jc w:val="both"/>
      </w:pPr>
      <w:r w:rsidRPr="00DF3C60">
        <w:t>Paolo GROSSI, Presidente</w:t>
      </w:r>
    </w:p>
    <w:p w14:paraId="1128B69C" w14:textId="77777777" w:rsidR="00DF3C60" w:rsidRPr="00DF3C60" w:rsidRDefault="00DF3C60" w:rsidP="00FD4A2A">
      <w:pPr>
        <w:jc w:val="both"/>
      </w:pPr>
      <w:r w:rsidRPr="00DF3C60">
        <w:t>Giuliano AMATO, Redattore</w:t>
      </w:r>
    </w:p>
    <w:p w14:paraId="61F22675" w14:textId="77777777" w:rsidR="00DF3C60" w:rsidRPr="00DF3C60" w:rsidRDefault="00DF3C60" w:rsidP="00FD4A2A">
      <w:pPr>
        <w:jc w:val="both"/>
      </w:pPr>
      <w:r w:rsidRPr="00DF3C60">
        <w:t>Carmelinda MORANO, Cancelliere</w:t>
      </w:r>
    </w:p>
    <w:p w14:paraId="21BA41A7" w14:textId="77777777" w:rsidR="00DF3C60" w:rsidRPr="00DF3C60" w:rsidRDefault="00DF3C60" w:rsidP="00FD4A2A">
      <w:pPr>
        <w:jc w:val="both"/>
      </w:pPr>
      <w:r w:rsidRPr="00DF3C60">
        <w:t>Depositata in Cancelleria il 21 dicembre 2016.</w:t>
      </w:r>
    </w:p>
    <w:p w14:paraId="017573C5" w14:textId="77777777" w:rsidR="00DF3C60" w:rsidRPr="00DF3C60" w:rsidRDefault="00DF3C60" w:rsidP="00FD4A2A">
      <w:pPr>
        <w:jc w:val="both"/>
      </w:pPr>
      <w:r w:rsidRPr="00DF3C60">
        <w:t> </w:t>
      </w:r>
    </w:p>
    <w:p w14:paraId="7C80B190" w14:textId="77777777" w:rsidR="00B50B1F" w:rsidRDefault="00B50B1F" w:rsidP="00FD4A2A">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6CEC"/>
    <w:rsid w:val="0019780E"/>
    <w:rsid w:val="00286CEC"/>
    <w:rsid w:val="004122C7"/>
    <w:rsid w:val="006052EE"/>
    <w:rsid w:val="00954172"/>
    <w:rsid w:val="00A317DE"/>
    <w:rsid w:val="00AC0FF7"/>
    <w:rsid w:val="00B50B1F"/>
    <w:rsid w:val="00C13176"/>
    <w:rsid w:val="00C718BD"/>
    <w:rsid w:val="00DF3C60"/>
    <w:rsid w:val="00FD4A2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A3A58"/>
  <w15:chartTrackingRefBased/>
  <w15:docId w15:val="{E856027E-8843-4221-95C0-36DFD6C55E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286CE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286CE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286CEC"/>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286CEC"/>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86CEC"/>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86CEC"/>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86CEC"/>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86CEC"/>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86CEC"/>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86CEC"/>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286CEC"/>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286CEC"/>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286CEC"/>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86CEC"/>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86CEC"/>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86CEC"/>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86CEC"/>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86CEC"/>
    <w:rPr>
      <w:rFonts w:eastAsiaTheme="majorEastAsia" w:cstheme="majorBidi"/>
      <w:color w:val="272727" w:themeColor="text1" w:themeTint="D8"/>
    </w:rPr>
  </w:style>
  <w:style w:type="paragraph" w:styleId="Titolo">
    <w:name w:val="Title"/>
    <w:basedOn w:val="Normale"/>
    <w:next w:val="Normale"/>
    <w:link w:val="TitoloCarattere"/>
    <w:uiPriority w:val="10"/>
    <w:qFormat/>
    <w:rsid w:val="00286CE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86CEC"/>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86CEC"/>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86CEC"/>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86CEC"/>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86CEC"/>
    <w:rPr>
      <w:i/>
      <w:iCs/>
      <w:color w:val="404040" w:themeColor="text1" w:themeTint="BF"/>
    </w:rPr>
  </w:style>
  <w:style w:type="paragraph" w:styleId="Paragrafoelenco">
    <w:name w:val="List Paragraph"/>
    <w:basedOn w:val="Normale"/>
    <w:uiPriority w:val="34"/>
    <w:qFormat/>
    <w:rsid w:val="00286CEC"/>
    <w:pPr>
      <w:ind w:left="720"/>
      <w:contextualSpacing/>
    </w:pPr>
  </w:style>
  <w:style w:type="character" w:styleId="Enfasiintensa">
    <w:name w:val="Intense Emphasis"/>
    <w:basedOn w:val="Carpredefinitoparagrafo"/>
    <w:uiPriority w:val="21"/>
    <w:qFormat/>
    <w:rsid w:val="00286CEC"/>
    <w:rPr>
      <w:i/>
      <w:iCs/>
      <w:color w:val="0F4761" w:themeColor="accent1" w:themeShade="BF"/>
    </w:rPr>
  </w:style>
  <w:style w:type="paragraph" w:styleId="Citazioneintensa">
    <w:name w:val="Intense Quote"/>
    <w:basedOn w:val="Normale"/>
    <w:next w:val="Normale"/>
    <w:link w:val="CitazioneintensaCarattere"/>
    <w:uiPriority w:val="30"/>
    <w:qFormat/>
    <w:rsid w:val="00286CE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86CEC"/>
    <w:rPr>
      <w:i/>
      <w:iCs/>
      <w:color w:val="0F4761" w:themeColor="accent1" w:themeShade="BF"/>
    </w:rPr>
  </w:style>
  <w:style w:type="character" w:styleId="Riferimentointenso">
    <w:name w:val="Intense Reference"/>
    <w:basedOn w:val="Carpredefinitoparagrafo"/>
    <w:uiPriority w:val="32"/>
    <w:qFormat/>
    <w:rsid w:val="00286CEC"/>
    <w:rPr>
      <w:b/>
      <w:bCs/>
      <w:smallCaps/>
      <w:color w:val="0F4761" w:themeColor="accent1" w:themeShade="BF"/>
      <w:spacing w:val="5"/>
    </w:rPr>
  </w:style>
  <w:style w:type="paragraph" w:customStyle="1" w:styleId="msonormal0">
    <w:name w:val="msonormal"/>
    <w:basedOn w:val="Normale"/>
    <w:rsid w:val="00DF3C60"/>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paragraph" w:styleId="NormaleWeb">
    <w:name w:val="Normal (Web)"/>
    <w:basedOn w:val="Normale"/>
    <w:uiPriority w:val="99"/>
    <w:semiHidden/>
    <w:unhideWhenUsed/>
    <w:rsid w:val="00DF3C60"/>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customStyle="1" w:styleId="grame">
    <w:name w:val="grame"/>
    <w:basedOn w:val="Carpredefinitoparagrafo"/>
    <w:rsid w:val="00DF3C60"/>
  </w:style>
  <w:style w:type="character" w:styleId="Collegamentoipertestuale">
    <w:name w:val="Hyperlink"/>
    <w:basedOn w:val="Carpredefinitoparagrafo"/>
    <w:uiPriority w:val="99"/>
    <w:unhideWhenUsed/>
    <w:rsid w:val="00DF3C60"/>
    <w:rPr>
      <w:color w:val="0000FF"/>
      <w:u w:val="single"/>
    </w:rPr>
  </w:style>
  <w:style w:type="character" w:styleId="Collegamentovisitato">
    <w:name w:val="FollowedHyperlink"/>
    <w:basedOn w:val="Carpredefinitoparagrafo"/>
    <w:uiPriority w:val="99"/>
    <w:semiHidden/>
    <w:unhideWhenUsed/>
    <w:rsid w:val="00DF3C60"/>
    <w:rPr>
      <w:color w:val="800080"/>
      <w:u w:val="single"/>
    </w:rPr>
  </w:style>
  <w:style w:type="character" w:customStyle="1" w:styleId="spelle">
    <w:name w:val="spelle"/>
    <w:basedOn w:val="Carpredefinitoparagrafo"/>
    <w:rsid w:val="00DF3C60"/>
  </w:style>
  <w:style w:type="character" w:styleId="Menzionenonrisolta">
    <w:name w:val="Unresolved Mention"/>
    <w:basedOn w:val="Carpredefinitoparagrafo"/>
    <w:uiPriority w:val="99"/>
    <w:semiHidden/>
    <w:unhideWhenUsed/>
    <w:rsid w:val="00DF3C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65379">
      <w:bodyDiv w:val="1"/>
      <w:marLeft w:val="0"/>
      <w:marRight w:val="0"/>
      <w:marTop w:val="0"/>
      <w:marBottom w:val="0"/>
      <w:divBdr>
        <w:top w:val="none" w:sz="0" w:space="0" w:color="auto"/>
        <w:left w:val="none" w:sz="0" w:space="0" w:color="auto"/>
        <w:bottom w:val="none" w:sz="0" w:space="0" w:color="auto"/>
        <w:right w:val="none" w:sz="0" w:space="0" w:color="auto"/>
      </w:divBdr>
    </w:div>
    <w:div w:id="867181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iurcost.org/decisioni/2017/0217o-17.html" TargetMode="External"/><Relationship Id="rId5" Type="http://schemas.openxmlformats.org/officeDocument/2006/relationships/hyperlink" Target="https://giurcost.org/decisioni/2013/0062s-13.html" TargetMode="External"/><Relationship Id="rId4" Type="http://schemas.openxmlformats.org/officeDocument/2006/relationships/hyperlink" Target="https://giurcost.org/decisioni/2014/0011s-14.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TotalTime>
  <Pages>1</Pages>
  <Words>1388</Words>
  <Characters>7914</Characters>
  <Application>Microsoft Office Word</Application>
  <DocSecurity>0</DocSecurity>
  <Lines>65</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7</cp:revision>
  <dcterms:created xsi:type="dcterms:W3CDTF">2025-10-09T17:01:00Z</dcterms:created>
  <dcterms:modified xsi:type="dcterms:W3CDTF">2025-10-16T17:03:00Z</dcterms:modified>
</cp:coreProperties>
</file>