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AC6DE9" w14:textId="77777777" w:rsidR="00CE7294" w:rsidRPr="00CE7294" w:rsidRDefault="00CE7294" w:rsidP="00CE7294">
      <w:pPr>
        <w:jc w:val="both"/>
      </w:pPr>
      <w:r w:rsidRPr="00CE7294">
        <w:t>SENTENZA N.304</w:t>
      </w:r>
    </w:p>
    <w:p w14:paraId="60015DC9" w14:textId="77777777" w:rsidR="00CE7294" w:rsidRPr="00CE7294" w:rsidRDefault="00CE7294" w:rsidP="00CE7294">
      <w:pPr>
        <w:jc w:val="both"/>
      </w:pPr>
      <w:r w:rsidRPr="00CE7294">
        <w:t>ANNO 2002</w:t>
      </w:r>
    </w:p>
    <w:p w14:paraId="2F77C635" w14:textId="77777777" w:rsidR="00CE7294" w:rsidRPr="00CE7294" w:rsidRDefault="00CE7294" w:rsidP="00CE7294">
      <w:pPr>
        <w:jc w:val="both"/>
      </w:pPr>
      <w:r w:rsidRPr="00CE7294">
        <w:t> </w:t>
      </w:r>
    </w:p>
    <w:p w14:paraId="20FB9F18" w14:textId="77777777" w:rsidR="00CE7294" w:rsidRPr="00CE7294" w:rsidRDefault="00CE7294" w:rsidP="00CE7294">
      <w:pPr>
        <w:jc w:val="both"/>
      </w:pPr>
      <w:r w:rsidRPr="00CE7294">
        <w:t>REPUBBLICA ITALIANA</w:t>
      </w:r>
    </w:p>
    <w:p w14:paraId="70132C44" w14:textId="77777777" w:rsidR="00CE7294" w:rsidRPr="00CE7294" w:rsidRDefault="00CE7294" w:rsidP="00CE7294">
      <w:pPr>
        <w:jc w:val="both"/>
      </w:pPr>
      <w:r w:rsidRPr="00CE7294">
        <w:t>IN NOME DEL POPOLO ITALIANO</w:t>
      </w:r>
    </w:p>
    <w:p w14:paraId="2A9610A9" w14:textId="77777777" w:rsidR="00CE7294" w:rsidRPr="00CE7294" w:rsidRDefault="00CE7294" w:rsidP="00CE7294">
      <w:pPr>
        <w:jc w:val="both"/>
      </w:pPr>
      <w:r w:rsidRPr="00CE7294">
        <w:t>LA CORTE COSTITUZIONALE</w:t>
      </w:r>
    </w:p>
    <w:p w14:paraId="5A09E2DC" w14:textId="77777777" w:rsidR="00CE7294" w:rsidRPr="00CE7294" w:rsidRDefault="00CE7294" w:rsidP="00CE7294">
      <w:pPr>
        <w:jc w:val="both"/>
      </w:pPr>
      <w:r w:rsidRPr="00CE7294">
        <w:t>composta dai signori:</w:t>
      </w:r>
    </w:p>
    <w:p w14:paraId="4850E5FE" w14:textId="77777777" w:rsidR="00CE7294" w:rsidRPr="00CE7294" w:rsidRDefault="00CE7294" w:rsidP="00CE7294">
      <w:pPr>
        <w:jc w:val="both"/>
      </w:pPr>
      <w:r w:rsidRPr="00CE7294">
        <w:t>- Cesare                         RUPERTO                     Presidente</w:t>
      </w:r>
    </w:p>
    <w:p w14:paraId="62941378" w14:textId="77777777" w:rsidR="00CE7294" w:rsidRPr="00CE7294" w:rsidRDefault="00CE7294" w:rsidP="00CE7294">
      <w:pPr>
        <w:jc w:val="both"/>
      </w:pPr>
      <w:r w:rsidRPr="00CE7294">
        <w:t>- Massimo                     VARI                              Giudice</w:t>
      </w:r>
    </w:p>
    <w:p w14:paraId="65BBC665" w14:textId="77777777" w:rsidR="00CE7294" w:rsidRPr="00CE7294" w:rsidRDefault="00CE7294" w:rsidP="00CE7294">
      <w:pPr>
        <w:jc w:val="both"/>
      </w:pPr>
      <w:r w:rsidRPr="00CE7294">
        <w:t>- Riccardo                     CHIEPPA                              "</w:t>
      </w:r>
    </w:p>
    <w:p w14:paraId="6FB70ECB" w14:textId="77777777" w:rsidR="00CE7294" w:rsidRPr="00CE7294" w:rsidRDefault="00CE7294" w:rsidP="00CE7294">
      <w:pPr>
        <w:jc w:val="both"/>
      </w:pPr>
      <w:r w:rsidRPr="00CE7294">
        <w:t>- Gustavo                      ZAGREBELSKY                 "</w:t>
      </w:r>
    </w:p>
    <w:p w14:paraId="5CBF767C" w14:textId="77777777" w:rsidR="00CE7294" w:rsidRPr="00CE7294" w:rsidRDefault="00CE7294" w:rsidP="00CE7294">
      <w:pPr>
        <w:jc w:val="both"/>
      </w:pPr>
      <w:r w:rsidRPr="00CE7294">
        <w:t>- Valerio                        ONIDA                                  "</w:t>
      </w:r>
    </w:p>
    <w:p w14:paraId="38314CE3" w14:textId="77777777" w:rsidR="00CE7294" w:rsidRPr="00CE7294" w:rsidRDefault="00CE7294" w:rsidP="00CE7294">
      <w:pPr>
        <w:jc w:val="both"/>
      </w:pPr>
      <w:r w:rsidRPr="00CE7294">
        <w:t>- Carlo                           MEZZANOTTE                    "</w:t>
      </w:r>
    </w:p>
    <w:p w14:paraId="565F7223" w14:textId="77777777" w:rsidR="00CE7294" w:rsidRPr="00CE7294" w:rsidRDefault="00CE7294" w:rsidP="00CE7294">
      <w:pPr>
        <w:jc w:val="both"/>
      </w:pPr>
      <w:r w:rsidRPr="00CE7294">
        <w:t>- Fernanda                     CONTRI                                "</w:t>
      </w:r>
    </w:p>
    <w:p w14:paraId="26AA821B" w14:textId="77777777" w:rsidR="00CE7294" w:rsidRPr="00CE7294" w:rsidRDefault="00CE7294" w:rsidP="00CE7294">
      <w:pPr>
        <w:jc w:val="both"/>
      </w:pPr>
      <w:r w:rsidRPr="00CE7294">
        <w:t>- Guido                         NEPPI MODONA                "</w:t>
      </w:r>
    </w:p>
    <w:p w14:paraId="764E1408" w14:textId="77777777" w:rsidR="00CE7294" w:rsidRPr="00CE7294" w:rsidRDefault="00CE7294" w:rsidP="00CE7294">
      <w:pPr>
        <w:jc w:val="both"/>
      </w:pPr>
      <w:r w:rsidRPr="00CE7294">
        <w:t>- Piero Alberto              CAPOTOSTI                         "</w:t>
      </w:r>
    </w:p>
    <w:p w14:paraId="2C636906" w14:textId="77777777" w:rsidR="00CE7294" w:rsidRPr="00CE7294" w:rsidRDefault="00CE7294" w:rsidP="00CE7294">
      <w:pPr>
        <w:jc w:val="both"/>
      </w:pPr>
      <w:r w:rsidRPr="00CE7294">
        <w:t>- Annibale                     MARINI                                "</w:t>
      </w:r>
    </w:p>
    <w:p w14:paraId="7CC0D73B" w14:textId="77777777" w:rsidR="00CE7294" w:rsidRPr="00CE7294" w:rsidRDefault="00CE7294" w:rsidP="00CE7294">
      <w:pPr>
        <w:jc w:val="both"/>
      </w:pPr>
      <w:r w:rsidRPr="00CE7294">
        <w:t>- Franco                         BILE                                      "</w:t>
      </w:r>
    </w:p>
    <w:p w14:paraId="0D0DDA4A" w14:textId="77777777" w:rsidR="00CE7294" w:rsidRPr="00CE7294" w:rsidRDefault="00CE7294" w:rsidP="00CE7294">
      <w:pPr>
        <w:jc w:val="both"/>
      </w:pPr>
      <w:r w:rsidRPr="00CE7294">
        <w:t>- Giovanni Maria          FLICK                                               "</w:t>
      </w:r>
    </w:p>
    <w:p w14:paraId="677BF311" w14:textId="77777777" w:rsidR="00CE7294" w:rsidRPr="00CE7294" w:rsidRDefault="00CE7294" w:rsidP="00CE7294">
      <w:pPr>
        <w:jc w:val="both"/>
      </w:pPr>
      <w:r w:rsidRPr="00CE7294">
        <w:t>- Francesco                    AMIRANTE                          "</w:t>
      </w:r>
    </w:p>
    <w:p w14:paraId="1928B722" w14:textId="77777777" w:rsidR="00CE7294" w:rsidRPr="00CE7294" w:rsidRDefault="00CE7294" w:rsidP="00CE7294">
      <w:pPr>
        <w:jc w:val="both"/>
      </w:pPr>
      <w:r w:rsidRPr="00CE7294">
        <w:t>ha pronunciato la seguente</w:t>
      </w:r>
    </w:p>
    <w:p w14:paraId="4A0652AA" w14:textId="77777777" w:rsidR="00CE7294" w:rsidRPr="00CE7294" w:rsidRDefault="00CE7294" w:rsidP="00CE7294">
      <w:pPr>
        <w:jc w:val="both"/>
      </w:pPr>
      <w:r w:rsidRPr="00CE7294">
        <w:t>SENTENZA</w:t>
      </w:r>
    </w:p>
    <w:p w14:paraId="2AC9D133" w14:textId="3552F8D1" w:rsidR="00CE7294" w:rsidRPr="00CE7294" w:rsidRDefault="00CE7294" w:rsidP="00CE7294">
      <w:pPr>
        <w:jc w:val="both"/>
      </w:pPr>
      <w:r>
        <w:t>[…]</w:t>
      </w:r>
    </w:p>
    <w:p w14:paraId="5EA81032" w14:textId="06A60992" w:rsidR="00CE7294" w:rsidRPr="00CE7294" w:rsidRDefault="00CE7294" w:rsidP="00CE7294">
      <w:pPr>
        <w:jc w:val="both"/>
      </w:pPr>
      <w:r w:rsidRPr="00CE7294">
        <w:rPr>
          <w:i/>
          <w:iCs/>
        </w:rPr>
        <w:t>Considerato in diritto</w:t>
      </w:r>
    </w:p>
    <w:p w14:paraId="7082254E" w14:textId="77777777" w:rsidR="00CE7294" w:rsidRPr="00CE7294" w:rsidRDefault="00CE7294" w:rsidP="00CE7294">
      <w:pPr>
        <w:jc w:val="both"/>
      </w:pPr>
      <w:r w:rsidRPr="00CE7294">
        <w:t> </w:t>
      </w:r>
    </w:p>
    <w:p w14:paraId="4BDE04B1" w14:textId="77777777" w:rsidR="00CE7294" w:rsidRPr="00CE7294" w:rsidRDefault="00CE7294" w:rsidP="00CE7294">
      <w:pPr>
        <w:jc w:val="both"/>
        <w:rPr>
          <w:b/>
          <w:bCs/>
        </w:rPr>
      </w:pPr>
      <w:r w:rsidRPr="00CE7294">
        <w:rPr>
          <w:b/>
          <w:bCs/>
        </w:rPr>
        <w:t xml:space="preserve">1. Viene all’esame di questa Corte la questione di legittimità costituzionale della </w:t>
      </w:r>
      <w:r w:rsidRPr="00CE7294">
        <w:rPr>
          <w:b/>
          <w:bCs/>
          <w:u w:val="single"/>
        </w:rPr>
        <w:t>deliberazione legislativa statutaria</w:t>
      </w:r>
      <w:r w:rsidRPr="00CE7294">
        <w:rPr>
          <w:b/>
          <w:bCs/>
        </w:rPr>
        <w:t xml:space="preserve"> adottata, in seconda votazione, il 24 luglio 2001 dal Consiglio regionale della Regione Marche e recante "</w:t>
      </w:r>
      <w:r w:rsidRPr="00CE7294">
        <w:rPr>
          <w:b/>
          <w:bCs/>
          <w:color w:val="EE0000"/>
          <w:u w:val="single"/>
        </w:rPr>
        <w:t xml:space="preserve">Disciplina transitoria </w:t>
      </w:r>
      <w:r w:rsidRPr="00CE7294">
        <w:rPr>
          <w:b/>
          <w:bCs/>
          <w:u w:val="single"/>
        </w:rPr>
        <w:t>in attuazione dell’articolo 3 della legge costituzionale 22 novembre 1999, n. 1</w:t>
      </w:r>
      <w:r w:rsidRPr="00CE7294">
        <w:rPr>
          <w:b/>
          <w:bCs/>
        </w:rPr>
        <w:t xml:space="preserve">", il quale dispone che, fino alla approvazione del nuovo statuto regionale, </w:t>
      </w:r>
      <w:r w:rsidRPr="00CE7294">
        <w:rPr>
          <w:b/>
          <w:bCs/>
          <w:color w:val="EE0000"/>
        </w:rPr>
        <w:t xml:space="preserve">nel caso di morte o impedimento permanente </w:t>
      </w:r>
      <w:r w:rsidRPr="00CE7294">
        <w:rPr>
          <w:b/>
          <w:bCs/>
        </w:rPr>
        <w:t xml:space="preserve">del Presidente della Giunta regionale, </w:t>
      </w:r>
      <w:r w:rsidRPr="00CE7294">
        <w:rPr>
          <w:b/>
          <w:bCs/>
          <w:u w:val="single"/>
        </w:rPr>
        <w:t>il vicepresidente</w:t>
      </w:r>
      <w:r w:rsidRPr="00CE7294">
        <w:rPr>
          <w:b/>
          <w:bCs/>
        </w:rPr>
        <w:t>, nominato ai sensi dell’art. 5, comma 2, lettera </w:t>
      </w:r>
      <w:r w:rsidRPr="00CE7294">
        <w:rPr>
          <w:b/>
          <w:bCs/>
          <w:i/>
          <w:iCs/>
        </w:rPr>
        <w:t>a</w:t>
      </w:r>
      <w:r w:rsidRPr="00CE7294">
        <w:rPr>
          <w:b/>
          <w:bCs/>
        </w:rPr>
        <w:t xml:space="preserve">), della legge costituzionale 22 novembre 1999, n. 1 (Disposizioni concernenti l’elezione diretta del Presidente della Giunta regionale e l’autonomia statutaria delle Regioni), </w:t>
      </w:r>
      <w:r w:rsidRPr="00CE7294">
        <w:rPr>
          <w:b/>
          <w:bCs/>
          <w:u w:val="single"/>
        </w:rPr>
        <w:t>subentra al Presidente nell’esercizio delle relative funzioni</w:t>
      </w:r>
      <w:r w:rsidRPr="00CE7294">
        <w:rPr>
          <w:b/>
          <w:bCs/>
        </w:rPr>
        <w:t xml:space="preserve">. Il Governo della Repubblica ne denuncia il contrasto con gli </w:t>
      </w:r>
      <w:r w:rsidRPr="00CE7294">
        <w:rPr>
          <w:b/>
          <w:bCs/>
        </w:rPr>
        <w:lastRenderedPageBreak/>
        <w:t xml:space="preserve">artt. 122, ultimo comma, e 126, terzo comma, della Costituzione, </w:t>
      </w:r>
      <w:proofErr w:type="spellStart"/>
      <w:r w:rsidRPr="00CE7294">
        <w:rPr>
          <w:b/>
          <w:bCs/>
        </w:rPr>
        <w:t>nonchè</w:t>
      </w:r>
      <w:proofErr w:type="spellEnd"/>
      <w:r w:rsidRPr="00CE7294">
        <w:rPr>
          <w:b/>
          <w:bCs/>
        </w:rPr>
        <w:t xml:space="preserve"> con l’art. 5, comma 2, lettera </w:t>
      </w:r>
      <w:r w:rsidRPr="00CE7294">
        <w:rPr>
          <w:b/>
          <w:bCs/>
          <w:i/>
          <w:iCs/>
        </w:rPr>
        <w:t>b</w:t>
      </w:r>
      <w:r w:rsidRPr="00CE7294">
        <w:rPr>
          <w:b/>
          <w:bCs/>
        </w:rPr>
        <w:t>), della legge costituzionale n. 1 del 1999.</w:t>
      </w:r>
    </w:p>
    <w:p w14:paraId="2D50A4D8" w14:textId="605DAFFA" w:rsidR="00CE7294" w:rsidRDefault="00CE7294" w:rsidP="00CE7294">
      <w:pPr>
        <w:jc w:val="both"/>
        <w:rPr>
          <w:b/>
          <w:bCs/>
        </w:rPr>
      </w:pPr>
      <w:r>
        <w:rPr>
          <w:b/>
          <w:bCs/>
        </w:rPr>
        <w:t>[…]</w:t>
      </w:r>
    </w:p>
    <w:p w14:paraId="69962496" w14:textId="77777777" w:rsidR="00CE7294" w:rsidRPr="00CE7294" w:rsidRDefault="00CE7294" w:rsidP="00CE7294">
      <w:pPr>
        <w:jc w:val="both"/>
        <w:rPr>
          <w:b/>
          <w:bCs/>
        </w:rPr>
      </w:pPr>
      <w:r w:rsidRPr="00CE7294">
        <w:rPr>
          <w:b/>
          <w:bCs/>
        </w:rPr>
        <w:t xml:space="preserve">4. ¾ Con una seconda censura, il Governo lamenta che la deliberazione statutaria impugnata, nel prevedere che in via transitoria, e segnatamente fino alla approvazione del nuovo statuto regionale, </w:t>
      </w:r>
      <w:r w:rsidRPr="003F38B1">
        <w:rPr>
          <w:b/>
          <w:bCs/>
          <w:color w:val="EE0000"/>
        </w:rPr>
        <w:t xml:space="preserve">il vicepresidente della Giunta regionale subentra </w:t>
      </w:r>
      <w:r w:rsidRPr="00CE7294">
        <w:rPr>
          <w:b/>
          <w:bCs/>
        </w:rPr>
        <w:t xml:space="preserve">al Presidente nell’esercizio delle relative funzioni, nel caso di morte o impedimento permanente di quest’ultimo, sarebbe in contrasto con gli artt. 122, ultimo comma, e 126, terzo comma, Cost., </w:t>
      </w:r>
      <w:proofErr w:type="spellStart"/>
      <w:r w:rsidRPr="00CE7294">
        <w:rPr>
          <w:b/>
          <w:bCs/>
        </w:rPr>
        <w:t>nonchè</w:t>
      </w:r>
      <w:proofErr w:type="spellEnd"/>
      <w:r w:rsidRPr="00CE7294">
        <w:rPr>
          <w:b/>
          <w:bCs/>
        </w:rPr>
        <w:t xml:space="preserve"> con l’art. 5, comma 2, lettera </w:t>
      </w:r>
      <w:r w:rsidRPr="00CE7294">
        <w:rPr>
          <w:b/>
          <w:bCs/>
          <w:i/>
          <w:iCs/>
        </w:rPr>
        <w:t>b</w:t>
      </w:r>
      <w:r w:rsidRPr="00CE7294">
        <w:rPr>
          <w:b/>
          <w:bCs/>
        </w:rPr>
        <w:t>), della legge costituzionale 22 novembre 1999, n. 1.</w:t>
      </w:r>
    </w:p>
    <w:p w14:paraId="40068DB9" w14:textId="4FC3CE09" w:rsidR="00CE7294" w:rsidRPr="00CE7294" w:rsidRDefault="00CE7294" w:rsidP="00CE7294">
      <w:pPr>
        <w:jc w:val="both"/>
        <w:rPr>
          <w:b/>
          <w:bCs/>
        </w:rPr>
      </w:pPr>
      <w:r w:rsidRPr="00CE7294">
        <w:rPr>
          <w:b/>
          <w:bCs/>
        </w:rPr>
        <w:t xml:space="preserve">La questione </w:t>
      </w:r>
      <w:proofErr w:type="spellStart"/>
      <w:r w:rsidRPr="00CE7294">
        <w:rPr>
          <w:b/>
          <w:bCs/>
        </w:rPr>
        <w:t>é</w:t>
      </w:r>
      <w:proofErr w:type="spellEnd"/>
      <w:r w:rsidRPr="00CE7294">
        <w:rPr>
          <w:b/>
          <w:bCs/>
        </w:rPr>
        <w:t xml:space="preserve"> fondata.</w:t>
      </w:r>
      <w:r w:rsidR="0054547B">
        <w:rPr>
          <w:b/>
          <w:bCs/>
        </w:rPr>
        <w:t xml:space="preserve">  </w:t>
      </w:r>
    </w:p>
    <w:p w14:paraId="5677B604" w14:textId="77777777" w:rsidR="00CE7294" w:rsidRPr="00DD373D" w:rsidRDefault="00CE7294" w:rsidP="00CE7294">
      <w:pPr>
        <w:jc w:val="both"/>
        <w:rPr>
          <w:b/>
          <w:bCs/>
        </w:rPr>
      </w:pPr>
      <w:r w:rsidRPr="00CE7294">
        <w:rPr>
          <w:b/>
          <w:bCs/>
        </w:rPr>
        <w:t>L’art. 126, terzo comma, della Costituzione dispone: "</w:t>
      </w:r>
      <w:r w:rsidRPr="00DD373D">
        <w:rPr>
          <w:b/>
          <w:bCs/>
          <w:u w:val="single"/>
        </w:rPr>
        <w:t>L’approvazione della mozione di sfiducia nei confronti del Presidente della Giunta</w:t>
      </w:r>
      <w:r w:rsidRPr="00DD373D">
        <w:rPr>
          <w:u w:val="single"/>
        </w:rPr>
        <w:t xml:space="preserve"> </w:t>
      </w:r>
      <w:r w:rsidRPr="00DD373D">
        <w:rPr>
          <w:b/>
          <w:bCs/>
          <w:u w:val="single"/>
        </w:rPr>
        <w:t xml:space="preserve">eletto a suffragio universale e diretto, </w:t>
      </w:r>
      <w:proofErr w:type="spellStart"/>
      <w:r w:rsidRPr="00DD373D">
        <w:rPr>
          <w:b/>
          <w:bCs/>
          <w:u w:val="single"/>
        </w:rPr>
        <w:t>nonchè</w:t>
      </w:r>
      <w:proofErr w:type="spellEnd"/>
      <w:r w:rsidRPr="00DD373D">
        <w:rPr>
          <w:b/>
          <w:bCs/>
          <w:u w:val="single"/>
        </w:rPr>
        <w:t xml:space="preserve"> la rimozione, l’impedimento permanente, la morte o le dimissioni volontarie dello stesso comportano le dimissioni della Giunta e lo scioglimento del Consiglio</w:t>
      </w:r>
      <w:r w:rsidRPr="00DD373D">
        <w:rPr>
          <w:b/>
          <w:bCs/>
        </w:rPr>
        <w:t>".</w:t>
      </w:r>
    </w:p>
    <w:p w14:paraId="498EA00E" w14:textId="77777777" w:rsidR="00CE7294" w:rsidRPr="00DD373D" w:rsidRDefault="00CE7294" w:rsidP="00CE7294">
      <w:pPr>
        <w:jc w:val="both"/>
        <w:rPr>
          <w:b/>
          <w:bCs/>
        </w:rPr>
      </w:pPr>
      <w:r w:rsidRPr="00DD373D">
        <w:rPr>
          <w:b/>
          <w:bCs/>
        </w:rPr>
        <w:t xml:space="preserve">Analoga </w:t>
      </w:r>
      <w:proofErr w:type="spellStart"/>
      <w:r w:rsidRPr="00DD373D">
        <w:rPr>
          <w:b/>
          <w:bCs/>
        </w:rPr>
        <w:t>é</w:t>
      </w:r>
      <w:proofErr w:type="spellEnd"/>
      <w:r w:rsidRPr="00DD373D">
        <w:rPr>
          <w:b/>
          <w:bCs/>
        </w:rPr>
        <w:t xml:space="preserve"> la formulazione dell’art. 5, comma 2, lettera </w:t>
      </w:r>
      <w:r w:rsidRPr="00DD373D">
        <w:rPr>
          <w:b/>
          <w:bCs/>
          <w:i/>
          <w:iCs/>
        </w:rPr>
        <w:t>b</w:t>
      </w:r>
      <w:r w:rsidRPr="00DD373D">
        <w:rPr>
          <w:b/>
          <w:bCs/>
        </w:rPr>
        <w:t>), della legge costituzionale n. 1 del 1999, dettato in relazione al periodo transitorio ("fino alla entrata in vigore dei nuovi statuti").</w:t>
      </w:r>
    </w:p>
    <w:p w14:paraId="7F9F0270" w14:textId="77777777" w:rsidR="00CE7294" w:rsidRPr="00DD373D" w:rsidRDefault="00CE7294" w:rsidP="00CE7294">
      <w:pPr>
        <w:jc w:val="both"/>
        <w:rPr>
          <w:b/>
          <w:bCs/>
        </w:rPr>
      </w:pPr>
      <w:r w:rsidRPr="00DD373D">
        <w:rPr>
          <w:b/>
          <w:bCs/>
        </w:rPr>
        <w:t xml:space="preserve">Il </w:t>
      </w:r>
      <w:r w:rsidRPr="00DD373D">
        <w:rPr>
          <w:b/>
          <w:bCs/>
          <w:u w:val="single"/>
        </w:rPr>
        <w:t xml:space="preserve">significato delle due disposizioni </w:t>
      </w:r>
      <w:proofErr w:type="spellStart"/>
      <w:r w:rsidRPr="00DD373D">
        <w:rPr>
          <w:b/>
          <w:bCs/>
          <w:u w:val="single"/>
        </w:rPr>
        <w:t>é</w:t>
      </w:r>
      <w:proofErr w:type="spellEnd"/>
      <w:r w:rsidRPr="00DD373D">
        <w:rPr>
          <w:b/>
          <w:bCs/>
          <w:u w:val="single"/>
        </w:rPr>
        <w:t xml:space="preserve"> evidente: con esse si tende a garantire, mediante il vincolo del </w:t>
      </w:r>
      <w:proofErr w:type="spellStart"/>
      <w:r w:rsidRPr="00DD373D">
        <w:rPr>
          <w:b/>
          <w:bCs/>
          <w:i/>
          <w:iCs/>
          <w:u w:val="single"/>
        </w:rPr>
        <w:t>simul</w:t>
      </w:r>
      <w:proofErr w:type="spellEnd"/>
      <w:r w:rsidRPr="00DD373D">
        <w:rPr>
          <w:b/>
          <w:bCs/>
          <w:i/>
          <w:iCs/>
          <w:u w:val="single"/>
        </w:rPr>
        <w:t> </w:t>
      </w:r>
      <w:proofErr w:type="spellStart"/>
      <w:r w:rsidRPr="00DD373D">
        <w:rPr>
          <w:b/>
          <w:bCs/>
          <w:i/>
          <w:iCs/>
          <w:u w:val="single"/>
        </w:rPr>
        <w:t>stabunt</w:t>
      </w:r>
      <w:proofErr w:type="spellEnd"/>
      <w:r w:rsidRPr="00DD373D">
        <w:rPr>
          <w:b/>
          <w:bCs/>
          <w:i/>
          <w:iCs/>
          <w:u w:val="single"/>
        </w:rPr>
        <w:t xml:space="preserve">, </w:t>
      </w:r>
      <w:proofErr w:type="spellStart"/>
      <w:r w:rsidRPr="00DD373D">
        <w:rPr>
          <w:b/>
          <w:bCs/>
          <w:i/>
          <w:iCs/>
          <w:u w:val="single"/>
        </w:rPr>
        <w:t>simul</w:t>
      </w:r>
      <w:proofErr w:type="spellEnd"/>
      <w:r w:rsidRPr="00DD373D">
        <w:rPr>
          <w:b/>
          <w:bCs/>
          <w:i/>
          <w:iCs/>
          <w:u w:val="single"/>
        </w:rPr>
        <w:t xml:space="preserve"> </w:t>
      </w:r>
      <w:proofErr w:type="spellStart"/>
      <w:r w:rsidRPr="00DD373D">
        <w:rPr>
          <w:b/>
          <w:bCs/>
          <w:i/>
          <w:iCs/>
          <w:u w:val="single"/>
        </w:rPr>
        <w:t>cadent</w:t>
      </w:r>
      <w:proofErr w:type="spellEnd"/>
      <w:r w:rsidRPr="00DD373D">
        <w:rPr>
          <w:b/>
          <w:bCs/>
          <w:u w:val="single"/>
        </w:rPr>
        <w:t xml:space="preserve">, </w:t>
      </w:r>
      <w:r w:rsidRPr="003F38B1">
        <w:rPr>
          <w:b/>
          <w:bCs/>
          <w:color w:val="EE0000"/>
          <w:u w:val="single"/>
        </w:rPr>
        <w:t>la stabilità dell’esecutivo regionale</w:t>
      </w:r>
      <w:r w:rsidRPr="00DD373D">
        <w:rPr>
          <w:b/>
          <w:bCs/>
          <w:u w:val="single"/>
        </w:rPr>
        <w:t>. Identiche nella </w:t>
      </w:r>
      <w:r w:rsidRPr="00DD373D">
        <w:rPr>
          <w:b/>
          <w:bCs/>
          <w:i/>
          <w:iCs/>
          <w:u w:val="single"/>
        </w:rPr>
        <w:t>ratio</w:t>
      </w:r>
      <w:r w:rsidRPr="00DD373D">
        <w:rPr>
          <w:b/>
          <w:bCs/>
          <w:u w:val="single"/>
        </w:rPr>
        <w:t>, le due previsioni normative si differenziano per la loro sfera temporale di operatività</w:t>
      </w:r>
      <w:r w:rsidRPr="00DD373D">
        <w:rPr>
          <w:b/>
          <w:bCs/>
        </w:rPr>
        <w:t>. L’art. 5, comma 2, lettera </w:t>
      </w:r>
      <w:r w:rsidRPr="00DD373D">
        <w:rPr>
          <w:b/>
          <w:bCs/>
          <w:i/>
          <w:iCs/>
        </w:rPr>
        <w:t>b</w:t>
      </w:r>
      <w:r w:rsidRPr="00DD373D">
        <w:rPr>
          <w:b/>
          <w:bCs/>
        </w:rPr>
        <w:t>), contiene la disciplina transitoria, destinata a permanere fino a quando, nell’esercizio dell’autonomia statutaria loro riconosciuta dall’art. 123, primo comma, le Regioni compiranno la scelta in ordine alla propria forma di governo. Solo in quel caso sarà loro consentito esercitare la facoltà prevista dall’ultimo comma dell’art. 126 e optare per un sistema di elezione del Presidente della Giunta regionale diverso dal suffragio diretto, ciò che le scioglierà dall’osservanza del vincolo costituzionale di cui si parla.</w:t>
      </w:r>
    </w:p>
    <w:p w14:paraId="122D7C39" w14:textId="77777777" w:rsidR="00CE7294" w:rsidRPr="00DD373D" w:rsidRDefault="00CE7294" w:rsidP="00CE7294">
      <w:pPr>
        <w:jc w:val="both"/>
        <w:rPr>
          <w:b/>
          <w:bCs/>
        </w:rPr>
      </w:pPr>
      <w:r w:rsidRPr="00DD373D">
        <w:rPr>
          <w:b/>
          <w:bCs/>
        </w:rPr>
        <w:t xml:space="preserve">Non vale l’obiezione della difesa regionale secondo cui il sistema elettorale che l’art. 5, comma 1, della legge costituzionale n. 1 del 1999 impone alle Regioni fino alla adozione dei nuovi statuti e delle nuove leggi elettorali </w:t>
      </w:r>
      <w:r w:rsidRPr="00DD373D">
        <w:rPr>
          <w:b/>
          <w:bCs/>
          <w:u w:val="single"/>
        </w:rPr>
        <w:t>non darebbe luogo ad una vera e propria elezione del Presidente della Giunta a suffragio diretto</w:t>
      </w:r>
      <w:r w:rsidRPr="00DD373D">
        <w:rPr>
          <w:b/>
          <w:bCs/>
        </w:rPr>
        <w:t>. Quale che sia la risposta tecnicamente corretta a tale quesito, il fatto stesso che anche per il periodo transitorio si sia inteso rendere operante il principio del </w:t>
      </w:r>
      <w:proofErr w:type="spellStart"/>
      <w:r w:rsidRPr="00DD373D">
        <w:rPr>
          <w:b/>
          <w:bCs/>
          <w:i/>
          <w:iCs/>
        </w:rPr>
        <w:t>simul</w:t>
      </w:r>
      <w:proofErr w:type="spellEnd"/>
      <w:r w:rsidRPr="00DD373D">
        <w:rPr>
          <w:b/>
          <w:bCs/>
          <w:i/>
          <w:iCs/>
        </w:rPr>
        <w:t> </w:t>
      </w:r>
      <w:proofErr w:type="spellStart"/>
      <w:r w:rsidRPr="00DD373D">
        <w:rPr>
          <w:b/>
          <w:bCs/>
          <w:i/>
          <w:iCs/>
        </w:rPr>
        <w:t>stabunt</w:t>
      </w:r>
      <w:proofErr w:type="spellEnd"/>
      <w:r w:rsidRPr="00DD373D">
        <w:rPr>
          <w:b/>
          <w:bCs/>
          <w:i/>
          <w:iCs/>
        </w:rPr>
        <w:t xml:space="preserve">, </w:t>
      </w:r>
      <w:proofErr w:type="spellStart"/>
      <w:r w:rsidRPr="00DD373D">
        <w:rPr>
          <w:b/>
          <w:bCs/>
          <w:i/>
          <w:iCs/>
        </w:rPr>
        <w:t>simul</w:t>
      </w:r>
      <w:proofErr w:type="spellEnd"/>
      <w:r w:rsidRPr="00DD373D">
        <w:rPr>
          <w:b/>
          <w:bCs/>
          <w:i/>
          <w:iCs/>
        </w:rPr>
        <w:t xml:space="preserve"> </w:t>
      </w:r>
      <w:proofErr w:type="spellStart"/>
      <w:r w:rsidRPr="00DD373D">
        <w:rPr>
          <w:b/>
          <w:bCs/>
          <w:i/>
          <w:iCs/>
        </w:rPr>
        <w:t>cadent</w:t>
      </w:r>
      <w:proofErr w:type="spellEnd"/>
      <w:r w:rsidRPr="00DD373D">
        <w:rPr>
          <w:b/>
          <w:bCs/>
        </w:rPr>
        <w:t xml:space="preserve"> dimostra che, nella valutazione del legislatore costituzionale, l’elezione del Presidente della Giunta </w:t>
      </w:r>
      <w:proofErr w:type="spellStart"/>
      <w:r w:rsidRPr="00DD373D">
        <w:rPr>
          <w:b/>
          <w:bCs/>
        </w:rPr>
        <w:t>é</w:t>
      </w:r>
      <w:proofErr w:type="spellEnd"/>
      <w:r w:rsidRPr="00DD373D">
        <w:rPr>
          <w:b/>
          <w:bCs/>
        </w:rPr>
        <w:t xml:space="preserve"> assimilabile, quanto a legittimazione popolare acquisita dall’eletto, ad una vera e propria elezione a suffragio diretto.</w:t>
      </w:r>
    </w:p>
    <w:p w14:paraId="7674352F" w14:textId="02FCD511" w:rsidR="00C25C5E" w:rsidRDefault="00C25C5E" w:rsidP="00CE7294">
      <w:pPr>
        <w:jc w:val="both"/>
      </w:pPr>
      <w:r>
        <w:t>[…]</w:t>
      </w:r>
    </w:p>
    <w:p w14:paraId="7AD9955C" w14:textId="6D266EC4" w:rsidR="00CE7294" w:rsidRPr="008D5B3E" w:rsidRDefault="00CE7294" w:rsidP="00CE7294">
      <w:pPr>
        <w:jc w:val="both"/>
        <w:rPr>
          <w:b/>
          <w:bCs/>
          <w:u w:val="single"/>
        </w:rPr>
      </w:pPr>
      <w:r w:rsidRPr="00F24523">
        <w:rPr>
          <w:b/>
          <w:bCs/>
        </w:rPr>
        <w:t xml:space="preserve">5. ¾ Alla luce delle considerazioni fin qui svolte </w:t>
      </w:r>
      <w:proofErr w:type="spellStart"/>
      <w:r w:rsidRPr="00F24523">
        <w:rPr>
          <w:b/>
          <w:bCs/>
        </w:rPr>
        <w:t>é</w:t>
      </w:r>
      <w:proofErr w:type="spellEnd"/>
      <w:r w:rsidRPr="00F24523">
        <w:rPr>
          <w:b/>
          <w:bCs/>
        </w:rPr>
        <w:t xml:space="preserve"> agevole verificare se la deliberazione statutaria impugnata debba essere scrutinata sul parametro dell’art. 5 della legge costituzionale n. 1 del 1999 o se, come sostiene la difesa regionale, il regime da tale disposizione previsto sia venuto a cessare proprio a causa dell’esercizio, seppure parziale, della potestà statutaria. </w:t>
      </w:r>
      <w:proofErr w:type="gramStart"/>
      <w:r w:rsidRPr="00F24523">
        <w:rPr>
          <w:b/>
          <w:bCs/>
        </w:rPr>
        <w:t>E’</w:t>
      </w:r>
      <w:proofErr w:type="gramEnd"/>
      <w:r w:rsidRPr="00F24523">
        <w:rPr>
          <w:b/>
          <w:bCs/>
        </w:rPr>
        <w:t xml:space="preserve"> sufficiente a tal fine rilevare che la Regione Marche, con la sua parziale innovazione statutaria, non ha operato </w:t>
      </w:r>
      <w:r w:rsidRPr="008D5B3E">
        <w:rPr>
          <w:b/>
          <w:bCs/>
          <w:u w:val="single"/>
        </w:rPr>
        <w:t>quella diversa scelta in ordine alla forma di governo regionale che sola avrebbe potuto esonerarla dall’osservanza della regola stabilizzatrice che la Costituzione e la disciplina transitoria impongono nel caso di elezione diretta del vertice dell’esecutivo</w:t>
      </w:r>
      <w:r w:rsidRPr="00CE7294">
        <w:t xml:space="preserve">. </w:t>
      </w:r>
      <w:r w:rsidRPr="008D5B3E">
        <w:rPr>
          <w:b/>
          <w:bCs/>
        </w:rPr>
        <w:t xml:space="preserve">Con lo stabilire che, nel caso di morte o impedimento permanente del Presidente della Giunta, non si proceda a scioglimento del Consiglio ed a nuove elezioni, ma gli subentri un vicepresidente, la disposizione censurata </w:t>
      </w:r>
      <w:r w:rsidRPr="008D5B3E">
        <w:rPr>
          <w:b/>
          <w:bCs/>
        </w:rPr>
        <w:lastRenderedPageBreak/>
        <w:t xml:space="preserve">comporta </w:t>
      </w:r>
      <w:r w:rsidRPr="008D5B3E">
        <w:rPr>
          <w:b/>
          <w:bCs/>
          <w:u w:val="single"/>
        </w:rPr>
        <w:t>una puntuale violazione della disposizione di rango costituzionale contenuta nel più volte menzionato art. 5, comma, 2, lettera </w:t>
      </w:r>
      <w:r w:rsidRPr="008D5B3E">
        <w:rPr>
          <w:b/>
          <w:bCs/>
          <w:i/>
          <w:iCs/>
          <w:u w:val="single"/>
        </w:rPr>
        <w:t>b</w:t>
      </w:r>
      <w:r w:rsidRPr="008D5B3E">
        <w:rPr>
          <w:b/>
          <w:bCs/>
          <w:u w:val="single"/>
        </w:rPr>
        <w:t>).</w:t>
      </w:r>
    </w:p>
    <w:p w14:paraId="0843DBF1" w14:textId="77777777" w:rsidR="00CE7294" w:rsidRPr="00641373" w:rsidRDefault="00CE7294" w:rsidP="00CE7294">
      <w:pPr>
        <w:jc w:val="both"/>
        <w:rPr>
          <w:b/>
          <w:bCs/>
        </w:rPr>
      </w:pPr>
      <w:r w:rsidRPr="00641373">
        <w:rPr>
          <w:b/>
          <w:bCs/>
        </w:rPr>
        <w:t xml:space="preserve">La circostanza che la deliberazione impugnata sia stata adottata nella forma statutaria non vale a superare il vizio di legittimità dal quale essa </w:t>
      </w:r>
      <w:proofErr w:type="spellStart"/>
      <w:r w:rsidRPr="00641373">
        <w:rPr>
          <w:b/>
          <w:bCs/>
        </w:rPr>
        <w:t>é</w:t>
      </w:r>
      <w:proofErr w:type="spellEnd"/>
      <w:r w:rsidRPr="00641373">
        <w:rPr>
          <w:b/>
          <w:bCs/>
        </w:rPr>
        <w:t xml:space="preserve"> affetta. L’articolo 123 della Costituzione assoggetta attualmente la potestà statutaria regionale al solo limite dell’"armonia con la Costituzione" con formulazione meno stringente di quella precedente, che richiedeva anche l’armonia con le "leggi della Repubblica". Da ciò la difesa regionale ha tratto argomento per sostenere che il limite di legittimità degli statuti dovrebbe essere riferito ai valori di fondo che ispirano la Costituzione. L’armonia, si ragiona, esigerebbe solo che lo statuto non sia "orientato contro la Costituzione" e non ne pregiudichi i principî generali, ma non escluderebbe la possibilità di derogare a sue singole norme.</w:t>
      </w:r>
    </w:p>
    <w:p w14:paraId="2E596739" w14:textId="77777777" w:rsidR="00CE7294" w:rsidRPr="00641373" w:rsidRDefault="00CE7294" w:rsidP="00CE7294">
      <w:pPr>
        <w:jc w:val="both"/>
        <w:rPr>
          <w:b/>
          <w:bCs/>
        </w:rPr>
      </w:pPr>
      <w:r w:rsidRPr="00641373">
        <w:rPr>
          <w:b/>
          <w:bCs/>
        </w:rPr>
        <w:t xml:space="preserve">Neppure questo ordine di considerazioni può essere accolto. </w:t>
      </w:r>
      <w:r w:rsidRPr="00641373">
        <w:rPr>
          <w:b/>
          <w:bCs/>
          <w:u w:val="single"/>
        </w:rPr>
        <w:t>Il riferimento all’"armonia", lungi dal depotenziarla, rinsalda l’esigenza di puntuale rispetto di ogni disposizione della Costituzione</w:t>
      </w:r>
      <w:r w:rsidRPr="00641373">
        <w:rPr>
          <w:b/>
          <w:bCs/>
        </w:rPr>
        <w:t xml:space="preserve">, </w:t>
      </w:r>
      <w:proofErr w:type="spellStart"/>
      <w:r w:rsidRPr="00641373">
        <w:rPr>
          <w:b/>
          <w:bCs/>
        </w:rPr>
        <w:t>poichè</w:t>
      </w:r>
      <w:proofErr w:type="spellEnd"/>
      <w:r w:rsidRPr="00641373">
        <w:rPr>
          <w:b/>
          <w:bCs/>
        </w:rPr>
        <w:t xml:space="preserve"> mira non solo ad evitare il contrasto con le singole previsioni di questa, dal quale non può certo generarsi armonia, ma anche a scongiurare il pericolo che lo statuto, </w:t>
      </w:r>
      <w:r w:rsidRPr="00641373">
        <w:rPr>
          <w:b/>
          <w:bCs/>
          <w:color w:val="EE0000"/>
          <w:u w:val="single"/>
        </w:rPr>
        <w:t>pur rispettoso della lettera della Costituzione, ne eluda lo spirito.</w:t>
      </w:r>
      <w:r w:rsidRPr="00641373">
        <w:rPr>
          <w:b/>
          <w:bCs/>
        </w:rPr>
        <w:t xml:space="preserve"> Tutto in conclusione può dirsi della deliberazione statutaria in questione, adottata in aperto contrasto con la disciplina costituzionale transitoria dell’art. 5, comma 2, lettera </w:t>
      </w:r>
      <w:r w:rsidRPr="00641373">
        <w:rPr>
          <w:b/>
          <w:bCs/>
          <w:i/>
          <w:iCs/>
        </w:rPr>
        <w:t>b</w:t>
      </w:r>
      <w:r w:rsidRPr="00641373">
        <w:rPr>
          <w:b/>
          <w:bCs/>
        </w:rPr>
        <w:t>), tranne che essa sia "in armonia" con la Costituzione.</w:t>
      </w:r>
    </w:p>
    <w:p w14:paraId="36D9B1CD" w14:textId="77777777" w:rsidR="00CE7294" w:rsidRPr="00CE7294" w:rsidRDefault="00CE7294" w:rsidP="00CE7294">
      <w:pPr>
        <w:jc w:val="both"/>
      </w:pPr>
      <w:r w:rsidRPr="00CE7294">
        <w:t>per questi motivi</w:t>
      </w:r>
    </w:p>
    <w:p w14:paraId="5886D2DF" w14:textId="77777777" w:rsidR="00CE7294" w:rsidRPr="00CE7294" w:rsidRDefault="00CE7294" w:rsidP="00CE7294">
      <w:pPr>
        <w:jc w:val="both"/>
      </w:pPr>
      <w:r w:rsidRPr="00CE7294">
        <w:t> </w:t>
      </w:r>
    </w:p>
    <w:p w14:paraId="4754A734" w14:textId="77777777" w:rsidR="00CE7294" w:rsidRPr="00CE7294" w:rsidRDefault="00CE7294" w:rsidP="00CE7294">
      <w:pPr>
        <w:jc w:val="both"/>
      </w:pPr>
      <w:r w:rsidRPr="00CE7294">
        <w:t>LA CORTE COSTITUZIONALE</w:t>
      </w:r>
    </w:p>
    <w:p w14:paraId="159F48D7" w14:textId="77777777" w:rsidR="00CE7294" w:rsidRPr="00CE7294" w:rsidRDefault="00CE7294" w:rsidP="00CE7294">
      <w:pPr>
        <w:jc w:val="both"/>
      </w:pPr>
      <w:r w:rsidRPr="00CE7294">
        <w:rPr>
          <w:i/>
          <w:iCs/>
        </w:rPr>
        <w:t>dichiara</w:t>
      </w:r>
      <w:r w:rsidRPr="00CE7294">
        <w:t> l’illegittimità costituzionale della deliberazione legislativa statutaria adottata, in seconda votazione, il 24 luglio 2001 dal Consiglio regionale della Regione Marche e recante "Disciplina transitoria in attuazione dell’articolo 3 della legge costituzionale 22 novembre 1999, n. 1".</w:t>
      </w:r>
    </w:p>
    <w:p w14:paraId="1ABA1682" w14:textId="77777777" w:rsidR="00CE7294" w:rsidRPr="00CE7294" w:rsidRDefault="00CE7294" w:rsidP="00CE7294">
      <w:pPr>
        <w:jc w:val="both"/>
      </w:pPr>
      <w:r w:rsidRPr="00CE7294">
        <w:t>Così deciso in Roma, nella sede della Corte costituzionale, Palazzo della Consulta, il 20 giugno 2002.</w:t>
      </w:r>
    </w:p>
    <w:p w14:paraId="6FFE27C1" w14:textId="77777777" w:rsidR="00CE7294" w:rsidRPr="00CE7294" w:rsidRDefault="00CE7294" w:rsidP="00CE7294">
      <w:pPr>
        <w:jc w:val="both"/>
      </w:pPr>
      <w:r w:rsidRPr="00CE7294">
        <w:t>Cesare RUPERTO, Presidente</w:t>
      </w:r>
    </w:p>
    <w:p w14:paraId="04480F9A" w14:textId="77777777" w:rsidR="00CE7294" w:rsidRPr="00CE7294" w:rsidRDefault="00CE7294" w:rsidP="00CE7294">
      <w:pPr>
        <w:jc w:val="both"/>
      </w:pPr>
      <w:r w:rsidRPr="00CE7294">
        <w:t>Carlo MEZZANOTTE, Redattore</w:t>
      </w:r>
    </w:p>
    <w:p w14:paraId="5B8B3D6B" w14:textId="77777777" w:rsidR="00CE7294" w:rsidRPr="00CE7294" w:rsidRDefault="00CE7294" w:rsidP="00CE7294">
      <w:pPr>
        <w:jc w:val="both"/>
      </w:pPr>
      <w:r w:rsidRPr="00CE7294">
        <w:t>Depositata in Cancelleria il 3 luglio 2002.</w:t>
      </w:r>
    </w:p>
    <w:p w14:paraId="3D8CC3BA" w14:textId="77777777" w:rsidR="00B50B1F" w:rsidRDefault="00B50B1F" w:rsidP="00CE7294">
      <w:pPr>
        <w:jc w:val="both"/>
      </w:pPr>
    </w:p>
    <w:sectPr w:rsidR="00B50B1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4263"/>
    <w:rsid w:val="001424BF"/>
    <w:rsid w:val="003B32E6"/>
    <w:rsid w:val="003C4263"/>
    <w:rsid w:val="003F38B1"/>
    <w:rsid w:val="0054547B"/>
    <w:rsid w:val="00602DEA"/>
    <w:rsid w:val="00641373"/>
    <w:rsid w:val="008D5B3E"/>
    <w:rsid w:val="00B50B1F"/>
    <w:rsid w:val="00C25C5E"/>
    <w:rsid w:val="00CE7294"/>
    <w:rsid w:val="00DD373D"/>
    <w:rsid w:val="00F2452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F45D24"/>
  <w15:chartTrackingRefBased/>
  <w15:docId w15:val="{6D556E49-78B2-4EAF-88F9-E839A09992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3C426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3C426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3C4263"/>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3C4263"/>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3C4263"/>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3C4263"/>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3C4263"/>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3C4263"/>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3C4263"/>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C4263"/>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3C4263"/>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3C4263"/>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3C4263"/>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3C4263"/>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3C4263"/>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3C4263"/>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3C4263"/>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3C4263"/>
    <w:rPr>
      <w:rFonts w:eastAsiaTheme="majorEastAsia" w:cstheme="majorBidi"/>
      <w:color w:val="272727" w:themeColor="text1" w:themeTint="D8"/>
    </w:rPr>
  </w:style>
  <w:style w:type="paragraph" w:styleId="Titolo">
    <w:name w:val="Title"/>
    <w:basedOn w:val="Normale"/>
    <w:next w:val="Normale"/>
    <w:link w:val="TitoloCarattere"/>
    <w:uiPriority w:val="10"/>
    <w:qFormat/>
    <w:rsid w:val="003C426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3C4263"/>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3C4263"/>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3C4263"/>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3C4263"/>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3C4263"/>
    <w:rPr>
      <w:i/>
      <w:iCs/>
      <w:color w:val="404040" w:themeColor="text1" w:themeTint="BF"/>
    </w:rPr>
  </w:style>
  <w:style w:type="paragraph" w:styleId="Paragrafoelenco">
    <w:name w:val="List Paragraph"/>
    <w:basedOn w:val="Normale"/>
    <w:uiPriority w:val="34"/>
    <w:qFormat/>
    <w:rsid w:val="003C4263"/>
    <w:pPr>
      <w:ind w:left="720"/>
      <w:contextualSpacing/>
    </w:pPr>
  </w:style>
  <w:style w:type="character" w:styleId="Enfasiintensa">
    <w:name w:val="Intense Emphasis"/>
    <w:basedOn w:val="Carpredefinitoparagrafo"/>
    <w:uiPriority w:val="21"/>
    <w:qFormat/>
    <w:rsid w:val="003C4263"/>
    <w:rPr>
      <w:i/>
      <w:iCs/>
      <w:color w:val="0F4761" w:themeColor="accent1" w:themeShade="BF"/>
    </w:rPr>
  </w:style>
  <w:style w:type="paragraph" w:styleId="Citazioneintensa">
    <w:name w:val="Intense Quote"/>
    <w:basedOn w:val="Normale"/>
    <w:next w:val="Normale"/>
    <w:link w:val="CitazioneintensaCarattere"/>
    <w:uiPriority w:val="30"/>
    <w:qFormat/>
    <w:rsid w:val="003C426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3C4263"/>
    <w:rPr>
      <w:i/>
      <w:iCs/>
      <w:color w:val="0F4761" w:themeColor="accent1" w:themeShade="BF"/>
    </w:rPr>
  </w:style>
  <w:style w:type="character" w:styleId="Riferimentointenso">
    <w:name w:val="Intense Reference"/>
    <w:basedOn w:val="Carpredefinitoparagrafo"/>
    <w:uiPriority w:val="32"/>
    <w:qFormat/>
    <w:rsid w:val="003C426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52934236">
      <w:bodyDiv w:val="1"/>
      <w:marLeft w:val="0"/>
      <w:marRight w:val="0"/>
      <w:marTop w:val="0"/>
      <w:marBottom w:val="0"/>
      <w:divBdr>
        <w:top w:val="none" w:sz="0" w:space="0" w:color="auto"/>
        <w:left w:val="none" w:sz="0" w:space="0" w:color="auto"/>
        <w:bottom w:val="none" w:sz="0" w:space="0" w:color="auto"/>
        <w:right w:val="none" w:sz="0" w:space="0" w:color="auto"/>
      </w:divBdr>
    </w:div>
    <w:div w:id="1957173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3</Pages>
  <Words>1185</Words>
  <Characters>6755</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Maria Cherchi</dc:creator>
  <cp:keywords/>
  <dc:description/>
  <cp:lastModifiedBy>Roberto Maria Cherchi</cp:lastModifiedBy>
  <cp:revision>10</cp:revision>
  <dcterms:created xsi:type="dcterms:W3CDTF">2025-10-21T15:28:00Z</dcterms:created>
  <dcterms:modified xsi:type="dcterms:W3CDTF">2025-10-22T13:47:00Z</dcterms:modified>
</cp:coreProperties>
</file>