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DC14E4" w14:textId="77777777" w:rsidR="000A155B" w:rsidRPr="000A155B" w:rsidRDefault="000A155B" w:rsidP="00D37ED8">
      <w:pPr>
        <w:jc w:val="both"/>
      </w:pPr>
      <w:r w:rsidRPr="000A155B">
        <w:br/>
        <w:t>SENTENZA N. 313</w:t>
      </w:r>
    </w:p>
    <w:p w14:paraId="181A6CDC" w14:textId="77777777" w:rsidR="000A155B" w:rsidRPr="000A155B" w:rsidRDefault="000A155B" w:rsidP="00D37ED8">
      <w:pPr>
        <w:jc w:val="both"/>
      </w:pPr>
      <w:r w:rsidRPr="000A155B">
        <w:t>ANNO 2003</w:t>
      </w:r>
    </w:p>
    <w:p w14:paraId="4CADB367" w14:textId="77777777" w:rsidR="00B360FF" w:rsidRDefault="00B360FF" w:rsidP="00D37ED8">
      <w:pPr>
        <w:jc w:val="both"/>
      </w:pPr>
    </w:p>
    <w:p w14:paraId="4B21C242" w14:textId="2774F37C" w:rsidR="000A155B" w:rsidRPr="000A155B" w:rsidRDefault="000A155B" w:rsidP="00D37ED8">
      <w:pPr>
        <w:jc w:val="both"/>
      </w:pPr>
      <w:r w:rsidRPr="000A155B">
        <w:t>REPUBBLICA ITALIANA</w:t>
      </w:r>
    </w:p>
    <w:p w14:paraId="69262FF2" w14:textId="77777777" w:rsidR="000A155B" w:rsidRPr="000A155B" w:rsidRDefault="000A155B" w:rsidP="00D37ED8">
      <w:pPr>
        <w:jc w:val="both"/>
      </w:pPr>
      <w:r w:rsidRPr="000A155B">
        <w:t>IN NOME DEL POPOLO ITALIANO</w:t>
      </w:r>
    </w:p>
    <w:p w14:paraId="790A4C2C" w14:textId="77777777" w:rsidR="000A155B" w:rsidRPr="000A155B" w:rsidRDefault="000A155B" w:rsidP="00D37ED8">
      <w:pPr>
        <w:jc w:val="both"/>
      </w:pPr>
      <w:r w:rsidRPr="000A155B">
        <w:t>LA CORTE COSTITUZIONALE</w:t>
      </w:r>
    </w:p>
    <w:p w14:paraId="1B193E74" w14:textId="77777777" w:rsidR="000A155B" w:rsidRPr="000A155B" w:rsidRDefault="000A155B" w:rsidP="00D37ED8">
      <w:pPr>
        <w:jc w:val="both"/>
      </w:pPr>
      <w:r w:rsidRPr="000A155B">
        <w:t>composta dai signori:</w:t>
      </w:r>
    </w:p>
    <w:p w14:paraId="327DB565" w14:textId="77777777" w:rsidR="000A155B" w:rsidRPr="000A155B" w:rsidRDefault="000A155B" w:rsidP="00D37ED8">
      <w:pPr>
        <w:jc w:val="both"/>
      </w:pPr>
      <w:r w:rsidRPr="000A155B">
        <w:t>- Riccardo                   CHIEPPA                   Presidente</w:t>
      </w:r>
    </w:p>
    <w:p w14:paraId="1BA4A196" w14:textId="77777777" w:rsidR="000A155B" w:rsidRPr="000A155B" w:rsidRDefault="000A155B" w:rsidP="00D37ED8">
      <w:pPr>
        <w:jc w:val="both"/>
      </w:pPr>
      <w:r w:rsidRPr="000A155B">
        <w:t>- Gustavo                    ZAGREBELSKY        Giudice</w:t>
      </w:r>
    </w:p>
    <w:p w14:paraId="15D7AC52" w14:textId="77777777" w:rsidR="000A155B" w:rsidRPr="000A155B" w:rsidRDefault="000A155B" w:rsidP="00D37ED8">
      <w:pPr>
        <w:jc w:val="both"/>
      </w:pPr>
      <w:r w:rsidRPr="000A155B">
        <w:t>- Valerio                      ONIDA                       "</w:t>
      </w:r>
    </w:p>
    <w:p w14:paraId="0DFA7B71" w14:textId="77777777" w:rsidR="000A155B" w:rsidRPr="000A155B" w:rsidRDefault="000A155B" w:rsidP="00D37ED8">
      <w:pPr>
        <w:jc w:val="both"/>
      </w:pPr>
      <w:r w:rsidRPr="000A155B">
        <w:t>- Carlo                        MEZZANOTTE          "</w:t>
      </w:r>
    </w:p>
    <w:p w14:paraId="5D5E53A0" w14:textId="77777777" w:rsidR="000A155B" w:rsidRPr="000A155B" w:rsidRDefault="000A155B" w:rsidP="00D37ED8">
      <w:pPr>
        <w:jc w:val="both"/>
      </w:pPr>
      <w:r w:rsidRPr="000A155B">
        <w:t>- Fernanda                   CONTRI                     "</w:t>
      </w:r>
    </w:p>
    <w:p w14:paraId="06BAF619" w14:textId="77777777" w:rsidR="000A155B" w:rsidRPr="000A155B" w:rsidRDefault="000A155B" w:rsidP="00D37ED8">
      <w:pPr>
        <w:jc w:val="both"/>
      </w:pPr>
      <w:r w:rsidRPr="000A155B">
        <w:t>- Guido                        NEPPI MODONA     "</w:t>
      </w:r>
    </w:p>
    <w:p w14:paraId="4D7FCFCF" w14:textId="77777777" w:rsidR="000A155B" w:rsidRPr="000A155B" w:rsidRDefault="000A155B" w:rsidP="00D37ED8">
      <w:pPr>
        <w:jc w:val="both"/>
      </w:pPr>
      <w:r w:rsidRPr="000A155B">
        <w:t>- Piero Alberto            CAPOTOSTI              "</w:t>
      </w:r>
    </w:p>
    <w:p w14:paraId="3B5410EA" w14:textId="77777777" w:rsidR="000A155B" w:rsidRPr="000A155B" w:rsidRDefault="000A155B" w:rsidP="00D37ED8">
      <w:pPr>
        <w:jc w:val="both"/>
      </w:pPr>
      <w:r w:rsidRPr="000A155B">
        <w:t>- Annibale                    MARINI                     "</w:t>
      </w:r>
    </w:p>
    <w:p w14:paraId="2319BD3F" w14:textId="77777777" w:rsidR="000A155B" w:rsidRPr="000A155B" w:rsidRDefault="000A155B" w:rsidP="00D37ED8">
      <w:pPr>
        <w:jc w:val="both"/>
      </w:pPr>
      <w:r w:rsidRPr="000A155B">
        <w:t>- Franco                     BILE                           "</w:t>
      </w:r>
    </w:p>
    <w:p w14:paraId="2D7DE45E" w14:textId="77777777" w:rsidR="000A155B" w:rsidRPr="000A155B" w:rsidRDefault="000A155B" w:rsidP="00D37ED8">
      <w:pPr>
        <w:jc w:val="both"/>
      </w:pPr>
      <w:r w:rsidRPr="000A155B">
        <w:t>- Giovanni Maria          FLICK                        "</w:t>
      </w:r>
    </w:p>
    <w:p w14:paraId="51AEB2C1" w14:textId="77777777" w:rsidR="000A155B" w:rsidRPr="000A155B" w:rsidRDefault="000A155B" w:rsidP="00D37ED8">
      <w:pPr>
        <w:jc w:val="both"/>
      </w:pPr>
      <w:r w:rsidRPr="000A155B">
        <w:t>- Ugo                          DE SIERVO               "</w:t>
      </w:r>
    </w:p>
    <w:p w14:paraId="360C7054" w14:textId="77777777" w:rsidR="000A155B" w:rsidRPr="000A155B" w:rsidRDefault="000A155B" w:rsidP="00D37ED8">
      <w:pPr>
        <w:jc w:val="both"/>
      </w:pPr>
      <w:r w:rsidRPr="000A155B">
        <w:t>- Romano                    VACCARELLA          "</w:t>
      </w:r>
    </w:p>
    <w:p w14:paraId="163E14AB" w14:textId="77777777" w:rsidR="000A155B" w:rsidRPr="000A155B" w:rsidRDefault="000A155B" w:rsidP="00D37ED8">
      <w:pPr>
        <w:jc w:val="both"/>
      </w:pPr>
      <w:r w:rsidRPr="000A155B">
        <w:t>- Alfio                          FINOCCHIARO        "</w:t>
      </w:r>
    </w:p>
    <w:p w14:paraId="5DF6AD74" w14:textId="77777777" w:rsidR="00B360FF" w:rsidRDefault="00B360FF" w:rsidP="00D37ED8">
      <w:pPr>
        <w:jc w:val="both"/>
        <w:rPr>
          <w:i/>
          <w:iCs/>
        </w:rPr>
      </w:pPr>
    </w:p>
    <w:p w14:paraId="374995F4" w14:textId="36A473AE" w:rsidR="000A155B" w:rsidRPr="000A155B" w:rsidRDefault="000A155B" w:rsidP="00D37ED8">
      <w:pPr>
        <w:jc w:val="both"/>
      </w:pPr>
      <w:r w:rsidRPr="000A155B">
        <w:rPr>
          <w:i/>
          <w:iCs/>
        </w:rPr>
        <w:t>Considerato in diritto</w:t>
      </w:r>
    </w:p>
    <w:p w14:paraId="1D0A8C9B" w14:textId="77777777" w:rsidR="000A155B" w:rsidRPr="000A155B" w:rsidRDefault="000A155B" w:rsidP="00D37ED8">
      <w:pPr>
        <w:jc w:val="both"/>
      </w:pPr>
      <w:r w:rsidRPr="000A155B">
        <w:t>1. – Il Presidente del Consiglio dei ministri (reg. ricorsi n. 29 del 2002) ha sollevato questione di legittimità costituzionale di varie norme contenute nella legge della Regione Lombardia 12 gennaio 2002, n. 2, istitutiva del Corpo forestale regionale.</w:t>
      </w:r>
    </w:p>
    <w:p w14:paraId="38C0DD6B" w14:textId="77777777" w:rsidR="000A155B" w:rsidRPr="000A155B" w:rsidRDefault="000A155B" w:rsidP="00D37ED8">
      <w:pPr>
        <w:jc w:val="both"/>
      </w:pPr>
      <w:r w:rsidRPr="000A155B">
        <w:t>Se ne denunciano innanzitutto gli articoli 1, comma 1, e 2, commi 1-4, che disciplinano l’istituzione e le funzioni del Corpo forestale regionale, per violazione dell’art. 117, secondo comma, lettere </w:t>
      </w:r>
      <w:r w:rsidRPr="000A155B">
        <w:rPr>
          <w:i/>
          <w:iCs/>
        </w:rPr>
        <w:t>s</w:t>
      </w:r>
      <w:r w:rsidRPr="000A155B">
        <w:t>) e </w:t>
      </w:r>
      <w:r w:rsidRPr="000A155B">
        <w:rPr>
          <w:i/>
          <w:iCs/>
        </w:rPr>
        <w:t>q</w:t>
      </w:r>
      <w:r w:rsidRPr="000A155B">
        <w:t>), della Costituzione, che riservano allo Stato la competenza legislativa in materia di tutela dell’ambiente e di profilassi internazionale, nonché dell’art. 118 della Costituzione, potendo le funzioni amministrative in dette materie essere affidate soltanto dalla legge statale.</w:t>
      </w:r>
    </w:p>
    <w:p w14:paraId="59FB13CF" w14:textId="77777777" w:rsidR="000A155B" w:rsidRPr="000A155B" w:rsidRDefault="000A155B" w:rsidP="00D37ED8">
      <w:pPr>
        <w:jc w:val="both"/>
      </w:pPr>
      <w:r w:rsidRPr="000A155B">
        <w:t>In secondo luogo, si sostiene la violazione dello statuto regionale della Lombardia (art. 6) da parte dell’art. 1, commi 2 e 3, che affida alla Giunta regionale, anziché al Consiglio, l’adozione dei regolamenti per la disciplina dell’organizzazione del Corpo forestale regionale e dei rapporti tra questo e le strutture amministrative della Regione.</w:t>
      </w:r>
    </w:p>
    <w:p w14:paraId="1033C00C" w14:textId="77777777" w:rsidR="000A155B" w:rsidRPr="000A155B" w:rsidRDefault="000A155B" w:rsidP="00D37ED8">
      <w:pPr>
        <w:jc w:val="both"/>
      </w:pPr>
      <w:r w:rsidRPr="000A155B">
        <w:lastRenderedPageBreak/>
        <w:t>In terzo luogo, è oggetto di censura l’art. 2, comma 5, in quanto prevede l’intervento del Corpo forestale regionale in sostituzione degli enti locali competenti, in caso di inerzia, per contrasto con le garanzie riconosciute a questi ultimi dagli articoli 114 e 120 della Costituzione.</w:t>
      </w:r>
    </w:p>
    <w:p w14:paraId="2C5B49A7" w14:textId="77777777" w:rsidR="000A155B" w:rsidRPr="000A155B" w:rsidRDefault="000A155B" w:rsidP="00D37ED8">
      <w:pPr>
        <w:jc w:val="both"/>
      </w:pPr>
      <w:r w:rsidRPr="000A155B">
        <w:t>In quarto luogo, si denuncia l’art. 3, in quanto prevede l’adesione degli enti locali a convenzioni quadro predisposte unilateralmente dalla Regione, per contrasto, ancora, con gli articoli 114 e 120 della Costituzione e con il principio della leale cooperazione.</w:t>
      </w:r>
    </w:p>
    <w:p w14:paraId="45255579" w14:textId="77777777" w:rsidR="000A155B" w:rsidRPr="000A155B" w:rsidRDefault="000A155B" w:rsidP="00D37ED8">
      <w:pPr>
        <w:jc w:val="both"/>
      </w:pPr>
      <w:r w:rsidRPr="000A155B">
        <w:t>Da ultimo, è sollevata questione di legittimità costituzionale dell’art. 4, comma 3, che regola l’attribuzione della qualifica di ufficiali e agenti di polizia giudiziaria o di pubblica sicurezza al personale del Corpo forestale regionale, per contrasto con l’art. 117, secondo comma, lettere </w:t>
      </w:r>
      <w:r w:rsidRPr="000A155B">
        <w:rPr>
          <w:i/>
          <w:iCs/>
        </w:rPr>
        <w:t>h</w:t>
      </w:r>
      <w:r w:rsidRPr="000A155B">
        <w:t>) e </w:t>
      </w:r>
      <w:r w:rsidRPr="000A155B">
        <w:rPr>
          <w:i/>
          <w:iCs/>
        </w:rPr>
        <w:t>l</w:t>
      </w:r>
      <w:r w:rsidRPr="000A155B">
        <w:t>), della Costituzione, che prevedono l’esclusiva competenza della legge dello Stato, l’una, in materia di ordine pubblico e sicurezza e, l’altra, in materia di giurisdizione e norme processuali.</w:t>
      </w:r>
    </w:p>
    <w:p w14:paraId="444CD993" w14:textId="77777777" w:rsidR="000A155B" w:rsidRPr="000A155B" w:rsidRDefault="000A155B" w:rsidP="00D37ED8">
      <w:pPr>
        <w:jc w:val="both"/>
      </w:pPr>
      <w:r w:rsidRPr="000A155B">
        <w:t>2. – Con altro ricorso (reg. ricorsi n. 34 del 2002), il Presidente del Consiglio dei ministri solleva altresì questione di legittimità costituzionale, tra il resto, dell’art. 1, comma 3, lettera </w:t>
      </w:r>
      <w:r w:rsidRPr="000A155B">
        <w:rPr>
          <w:i/>
          <w:iCs/>
        </w:rPr>
        <w:t>b</w:t>
      </w:r>
      <w:r w:rsidRPr="000A155B">
        <w:t>), della legge della Regione Lombardia 6 marzo 2002, n. 4 (Norme per l’attuazione della programmazione regionale e per la modifica e l’integrazione di disposizioni legislative), che ha sostituito, modificandolo, l’art. 2 della legge regionale n. 2 del 2002, in tema di funzioni del Corpo forestale regionale. Ad avviso del ricorrente, le nuove norme si porrebbero anch’esse in contrasto con i medesimi parametri costituzionali asseritamente violati dalle norme anteriormente vigenti.</w:t>
      </w:r>
    </w:p>
    <w:p w14:paraId="5343B557" w14:textId="77777777" w:rsidR="000A155B" w:rsidRPr="000A155B" w:rsidRDefault="000A155B" w:rsidP="00D37ED8">
      <w:pPr>
        <w:jc w:val="both"/>
      </w:pPr>
      <w:r w:rsidRPr="000A155B">
        <w:t>3. – Il sopra indicato ricorso contro la legge regionale n. 4 del 2002 – già definito, quanto all’art. 1, comma 4, con la sentenza </w:t>
      </w:r>
      <w:hyperlink r:id="rId4" w:history="1">
        <w:r w:rsidRPr="000A155B">
          <w:rPr>
            <w:rStyle w:val="Collegamentoipertestuale"/>
          </w:rPr>
          <w:t>n. 201 del 2003</w:t>
        </w:r>
      </w:hyperlink>
      <w:r w:rsidRPr="000A155B">
        <w:t> di questa Corte – solleva ulteriore questione, relativa ad altra disposizione (art. 3, comma 12) della medesima legge regionale, che nulla ha a che fare con la disciplina del Corpo forestale regionale; per questa parte, il giudizio sul ricorso medesimo deve ulteriormente scindersi, in relazione all’opportunità di separate decisioni secondo materie omogenee.</w:t>
      </w:r>
    </w:p>
    <w:p w14:paraId="6790BBBF" w14:textId="77777777" w:rsidR="000A155B" w:rsidRPr="000A155B" w:rsidRDefault="000A155B" w:rsidP="00D37ED8">
      <w:pPr>
        <w:jc w:val="both"/>
      </w:pPr>
      <w:r w:rsidRPr="000A155B">
        <w:t>4. – Il giudizio sul ricorso contro la legge della Regione Lombardia n. 4 del 2002, per la parte ora richiamata, concernente modifiche alla legge regionale n. 2 dello stesso anno, può essere riunito col giudizio sul ricorso riguardante quest’ultima legge, stante l’identità della materia e dei profili d’incostituzionalità che in entrambi i casi sono fatti valere.</w:t>
      </w:r>
    </w:p>
    <w:p w14:paraId="367F72DE" w14:textId="77777777" w:rsidR="000A155B" w:rsidRPr="000A155B" w:rsidRDefault="000A155B" w:rsidP="00D37ED8">
      <w:pPr>
        <w:jc w:val="both"/>
      </w:pPr>
      <w:r w:rsidRPr="000A155B">
        <w:t>5. – Deve essere dichiarata inammissibile la costituzione della Regione Lombardia nel giudizio sul ricorso n. 34 del 2002, perché avvenuta con atto depositato in data 8 agosto 2002, oltre il termine, di carattere perentorio (per tutte, sentenza </w:t>
      </w:r>
      <w:hyperlink r:id="rId5" w:history="1">
        <w:r w:rsidRPr="000A155B">
          <w:rPr>
            <w:rStyle w:val="Collegamentoipertestuale"/>
          </w:rPr>
          <w:t>n. 477 del 2000</w:t>
        </w:r>
      </w:hyperlink>
      <w:r w:rsidRPr="000A155B">
        <w:t>), di venti giorni dal deposito del ricorso – effettuato, nella specie, in data 16 maggio 2002 – stabilito dall’art. 23, ultimo comma, delle norme integrative per i giudizi davanti alla Corte costituzionale.</w:t>
      </w:r>
    </w:p>
    <w:p w14:paraId="52667861" w14:textId="77777777" w:rsidR="000A155B" w:rsidRPr="000A155B" w:rsidRDefault="000A155B" w:rsidP="00D37ED8">
      <w:pPr>
        <w:jc w:val="both"/>
      </w:pPr>
      <w:r w:rsidRPr="000A155B">
        <w:t>6. – Preliminarmente, deve essere presa in considerazione la sostituzione dell’art. 1, comma 1, e dell’art. 2 della legge regionale n. 2 del 2002 da parte dell’art. 1, comma 3, lettere </w:t>
      </w:r>
      <w:r w:rsidRPr="000A155B">
        <w:rPr>
          <w:i/>
          <w:iCs/>
        </w:rPr>
        <w:t>a</w:t>
      </w:r>
      <w:r w:rsidRPr="000A155B">
        <w:t>) e </w:t>
      </w:r>
      <w:r w:rsidRPr="000A155B">
        <w:rPr>
          <w:i/>
          <w:iCs/>
        </w:rPr>
        <w:t>b</w:t>
      </w:r>
      <w:r w:rsidRPr="000A155B">
        <w:t>), della legge regionale n. 4 del 2002. Poiché alle norme anteriori, abrogate per il sopravvenire delle norme sostitutive, non risulta sia stata in alcun modo data esecuzione, e non potendo esse produrre più alcun effetto, per la parte che le riguarda la materia del contendere, quale dedotta con il ricorso n. 29 del 2002, deve essere dichiarata cessata.</w:t>
      </w:r>
    </w:p>
    <w:p w14:paraId="4024F0E3" w14:textId="77777777" w:rsidR="000A155B" w:rsidRPr="000A155B" w:rsidRDefault="000A155B" w:rsidP="00D37ED8">
      <w:pPr>
        <w:jc w:val="both"/>
      </w:pPr>
      <w:r w:rsidRPr="000A155B">
        <w:t>Restano perciò da decidere le questioni di legittimità costituzionale sollevate: (a) sull’art. 1, commi 2 e 3, della legge regionale n. 2 del 2002, in tema di potere regolamentare della Giunta regionale; (b) sull’art. 2, commi 1-5, della legge regionale n. 2 del 2002, come sostituito dall’art. 1, comma 3, lettera </w:t>
      </w:r>
      <w:r w:rsidRPr="000A155B">
        <w:rPr>
          <w:i/>
          <w:iCs/>
        </w:rPr>
        <w:t>b</w:t>
      </w:r>
      <w:r w:rsidRPr="000A155B">
        <w:t xml:space="preserve">), della legge regionale n. 4 del 2002, in tema di funzioni del Corpo forestale regionale; (c) sull’art. 3 della legge regionale n. 2 del 2002, in tema di coordinamento con le funzioni di competenza di altri enti, e (d) </w:t>
      </w:r>
      <w:r w:rsidRPr="000A155B">
        <w:lastRenderedPageBreak/>
        <w:t>sull’art. 4, comma 3, della legge regionale n. 2 del 2002, in tema di attribuzione al personale del Corpo forestale regionale della qualifica di ufficiale o agente di polizia giudiziaria o di pubblica sicurezza.</w:t>
      </w:r>
    </w:p>
    <w:p w14:paraId="643A1186" w14:textId="77777777" w:rsidR="000A155B" w:rsidRPr="006712BA" w:rsidRDefault="000A155B" w:rsidP="00D37ED8">
      <w:pPr>
        <w:jc w:val="both"/>
        <w:rPr>
          <w:b/>
          <w:bCs/>
        </w:rPr>
      </w:pPr>
      <w:r w:rsidRPr="006712BA">
        <w:rPr>
          <w:b/>
          <w:bCs/>
        </w:rPr>
        <w:t>7. – La questione di legittimità costituzionale sollevata sull’art. 1, commi 2 e 3, della legge regionale n. 2 del 2002 è fondata.</w:t>
      </w:r>
    </w:p>
    <w:p w14:paraId="22BF3273" w14:textId="77777777" w:rsidR="000A155B" w:rsidRPr="000A155B" w:rsidRDefault="000A155B" w:rsidP="00D37ED8">
      <w:pPr>
        <w:jc w:val="both"/>
      </w:pPr>
      <w:r w:rsidRPr="006712BA">
        <w:rPr>
          <w:b/>
          <w:bCs/>
        </w:rPr>
        <w:t>7.1. – Il comma 2 dell’art. 1 prevede che, in un termine dato, la Giunta regionale, con apposito regolamento, sentita la commissione consiliare competente, disciplini l’organizzazione e la dotazione strumentale del Corpo forestale regionale</w:t>
      </w:r>
      <w:r w:rsidRPr="000A155B">
        <w:t>, definendo, tra l’altro: l’inserimento nell’organizzazione amministrativa della Regione; l’articolazione decentrata; la pianta organica, nella quale deve trovare garanzia di inquadramento il personale del Corpo forestale dello Stato trasferito alla Regione (con un precedente </w:t>
      </w:r>
      <w:proofErr w:type="spellStart"/>
      <w:r w:rsidRPr="000A155B">
        <w:t>d.P.C.m.</w:t>
      </w:r>
      <w:proofErr w:type="spellEnd"/>
      <w:r w:rsidRPr="000A155B">
        <w:t xml:space="preserve"> dell’11 maggio 2001); le qualifiche e i livelli professionali; le funzioni del dirigente responsabile; i requisiti e le modalità di accesso al Corpo forestale regionale; le dotazioni strumentali; i modi di aggiornamento del personale. Il comma 3 prevede un successivo "provvedimento" della Giunta, di attuazione concreta della struttura del Corpo forestale, con la determinazione dell’organizzazione e dell’organico, distinti rispetto a quelli della medesima Giunta regionale.</w:t>
      </w:r>
    </w:p>
    <w:p w14:paraId="1BFF276B" w14:textId="77777777" w:rsidR="000A155B" w:rsidRPr="006712BA" w:rsidRDefault="000A155B" w:rsidP="00D37ED8">
      <w:pPr>
        <w:jc w:val="both"/>
        <w:rPr>
          <w:b/>
          <w:bCs/>
        </w:rPr>
      </w:pPr>
      <w:r w:rsidRPr="006712BA">
        <w:rPr>
          <w:b/>
          <w:bCs/>
        </w:rPr>
        <w:t xml:space="preserve">Queste disposizioni sono censurate dal Presidente del Consiglio in quanto conferenti alla Giunta un potere regolamentare che, secondo lo statuto regionale vigente (articoli 6, primo comma, 33, primo comma, e 37, primo comma, della </w:t>
      </w:r>
      <w:r w:rsidRPr="008D53C3">
        <w:rPr>
          <w:b/>
          <w:bCs/>
          <w:color w:val="EE0000"/>
        </w:rPr>
        <w:t>legge 22 maggio 1971, n. 339</w:t>
      </w:r>
      <w:r w:rsidRPr="006712BA">
        <w:rPr>
          <w:b/>
          <w:bCs/>
        </w:rPr>
        <w:t>), spetta al Consiglio regionale.</w:t>
      </w:r>
    </w:p>
    <w:p w14:paraId="2697EBD8" w14:textId="77777777" w:rsidR="000A155B" w:rsidRPr="008D53C3" w:rsidRDefault="000A155B" w:rsidP="00D37ED8">
      <w:pPr>
        <w:jc w:val="both"/>
        <w:rPr>
          <w:b/>
          <w:bCs/>
        </w:rPr>
      </w:pPr>
      <w:r w:rsidRPr="008D53C3">
        <w:rPr>
          <w:b/>
          <w:bCs/>
        </w:rPr>
        <w:t>7.2. – Questa Corte, nell’ordinanza </w:t>
      </w:r>
      <w:hyperlink r:id="rId6" w:history="1">
        <w:r w:rsidRPr="008D53C3">
          <w:rPr>
            <w:rStyle w:val="Collegamentoipertestuale"/>
            <w:b/>
            <w:bCs/>
          </w:rPr>
          <w:t>n. 87 del 2002</w:t>
        </w:r>
      </w:hyperlink>
      <w:r w:rsidRPr="008D53C3">
        <w:rPr>
          <w:b/>
          <w:bCs/>
        </w:rPr>
        <w:t>, ha già affermato che la modifica del secondo comma dell’art. 121 della Costituzione, operata dalla legge costituzionale 22 novembre 1999, n. 1, sopprimendo dal testo costituzionale originario l’indicazione della potestà regolamentare quale competenza del Consiglio regionale, ha l’effetto di eliminare la relativa riserva di competenza, consentendo alla Regione una diversa scelta organizzativa.</w:t>
      </w:r>
    </w:p>
    <w:p w14:paraId="2D3F8B3F" w14:textId="77777777" w:rsidR="000A155B" w:rsidRPr="008D53C3" w:rsidRDefault="000A155B" w:rsidP="00D37ED8">
      <w:pPr>
        <w:jc w:val="both"/>
        <w:rPr>
          <w:b/>
          <w:bCs/>
        </w:rPr>
      </w:pPr>
      <w:r w:rsidRPr="008D53C3">
        <w:rPr>
          <w:b/>
          <w:bCs/>
        </w:rPr>
        <w:t xml:space="preserve">Questa affermazione deve essere qui confermata, con la precisazione che – stante la sua attinenza ai rapporti tra gli organi costituzionali della Regione – tale scelta non può che essere contenuta </w:t>
      </w:r>
      <w:r w:rsidRPr="008D53C3">
        <w:rPr>
          <w:b/>
          <w:bCs/>
          <w:u w:val="single"/>
        </w:rPr>
        <w:t>in una disposizione dello statuto regionale</w:t>
      </w:r>
      <w:r w:rsidRPr="008D53C3">
        <w:rPr>
          <w:b/>
          <w:bCs/>
        </w:rPr>
        <w:t>, modificativa di quello attualmente vigente, con la conseguenza che, nel frattempo, vale la distribuzione delle competenze normative già stabilita nello statuto medesimo, di per sé non incompatibile con il nuovo art. 121 della Costituzione.</w:t>
      </w:r>
    </w:p>
    <w:p w14:paraId="79CDB830" w14:textId="37D1573E" w:rsidR="000A155B" w:rsidRPr="000A155B" w:rsidRDefault="000A155B" w:rsidP="00D37ED8">
      <w:pPr>
        <w:jc w:val="both"/>
      </w:pPr>
      <w:r w:rsidRPr="00054205">
        <w:rPr>
          <w:b/>
          <w:bCs/>
        </w:rPr>
        <w:t xml:space="preserve">7.3. – La difesa della Regione Lombardia sostiene la tesi contraria: la modifica dell’art. 121, secondo comma, della Costituzione comporterebbe l’immediata attribuzione della potestà regolamentare alla Giunta regionale, </w:t>
      </w:r>
      <w:r w:rsidRPr="00054205">
        <w:rPr>
          <w:b/>
          <w:bCs/>
          <w:u w:val="single"/>
        </w:rPr>
        <w:t>o con portata assoluta</w:t>
      </w:r>
      <w:r w:rsidRPr="00054205">
        <w:rPr>
          <w:b/>
          <w:bCs/>
        </w:rPr>
        <w:t xml:space="preserve"> o, in subordine, almeno fino a quando i nuovi statuti regionali, da approvarsi a norma dell’art. 123 della Costituzione, non dispongano altrimenti (qualora l’ipotizzata riserva regolamentare a favore della Giunta stabilita dal secondo comma dell’art. 121 sia da ritenersi cedevole).</w:t>
      </w:r>
      <w:r w:rsidRPr="000A155B">
        <w:t xml:space="preserve"> </w:t>
      </w:r>
      <w:r w:rsidRPr="00054205">
        <w:rPr>
          <w:b/>
          <w:bCs/>
        </w:rPr>
        <w:t xml:space="preserve">Gli argomenti addotti a favore di questa tesi sono vari e di varia natura: (a) la riconducibilità, come principio, della potestà regolamentare, quanto meno di quella esecutivo-attuativa, </w:t>
      </w:r>
      <w:r w:rsidRPr="00054205">
        <w:rPr>
          <w:b/>
          <w:bCs/>
          <w:u w:val="single"/>
        </w:rPr>
        <w:t>alla natura di "organo esecutivo"</w:t>
      </w:r>
      <w:r w:rsidRPr="00054205">
        <w:rPr>
          <w:b/>
          <w:bCs/>
        </w:rPr>
        <w:t xml:space="preserve"> della Giunta regionale (art. 121, terzo comma, della Costituzione) e quindi l’immediata espansione di tale principio, una volta eliminata la previsione espressa, da parte dell’art. 121 della Costituzione, della competenza regolamentare del Consiglio, da concepirsi come derogatoria del principio;</w:t>
      </w:r>
      <w:r w:rsidRPr="000A155B">
        <w:t xml:space="preserve"> </w:t>
      </w:r>
      <w:r w:rsidRPr="00054205">
        <w:rPr>
          <w:b/>
          <w:bCs/>
        </w:rPr>
        <w:t xml:space="preserve">(b) </w:t>
      </w:r>
      <w:r w:rsidRPr="00054205">
        <w:rPr>
          <w:b/>
          <w:bCs/>
          <w:u w:val="single"/>
        </w:rPr>
        <w:t>il potere riconosciuto al Presidente della Giunta di "emanare" i regolamenti regionali</w:t>
      </w:r>
      <w:r w:rsidRPr="00054205">
        <w:rPr>
          <w:b/>
          <w:bCs/>
        </w:rPr>
        <w:t xml:space="preserve"> – potere distinto da quello di "promulgare" le leggi regionali (art. 121, quarto comma) –: emanazione che presupporrebbe l’idea di una partecipazione del vertice dell’esecutivo regionale alla formazione degli atti regolamentari; (c) </w:t>
      </w:r>
      <w:r w:rsidRPr="00054205">
        <w:rPr>
          <w:b/>
          <w:bCs/>
          <w:u w:val="single"/>
        </w:rPr>
        <w:t>l’attuale "forma di governo" regionale</w:t>
      </w:r>
      <w:r w:rsidRPr="00054205">
        <w:rPr>
          <w:b/>
          <w:bCs/>
        </w:rPr>
        <w:t xml:space="preserve">, caratterizzata dal rafforzamento dell’organo esecutivo risultante dal nuovo art. 123 della Costituzione, al quale dovrebbe </w:t>
      </w:r>
      <w:r w:rsidRPr="00054205">
        <w:rPr>
          <w:b/>
          <w:bCs/>
        </w:rPr>
        <w:lastRenderedPageBreak/>
        <w:t xml:space="preserve">corrispondere il rafforzamento dei suoi poteri normativi, tramite l’assegnazione della potestà regolamentare; (d) </w:t>
      </w:r>
      <w:r w:rsidRPr="00054205">
        <w:rPr>
          <w:b/>
          <w:bCs/>
          <w:u w:val="single"/>
        </w:rPr>
        <w:t>l’aumento delle competenze legislative regionali cui consegue, a norma dell’art. 117, sesto comma, l’espansione della potestà regolamentare</w:t>
      </w:r>
      <w:r w:rsidRPr="00054205">
        <w:rPr>
          <w:b/>
          <w:bCs/>
        </w:rPr>
        <w:t>, con la conseguente incongruità, anche sotto il profilo del principio di "buon andamento" dell’amministrazione, di una perdurante potestà regolamentare consiliare, la quale sarebbe stata prevista, nell’originario art. 121 della Costituzione, più in funzione attuativa delle leggi dello Stato che non delle leggi della Regione</w:t>
      </w:r>
      <w:r w:rsidRPr="000A155B">
        <w:t xml:space="preserve">; </w:t>
      </w:r>
      <w:r w:rsidR="00553DD1">
        <w:rPr>
          <w:b/>
          <w:bCs/>
        </w:rPr>
        <w:t>[…]</w:t>
      </w:r>
      <w:r w:rsidRPr="000A155B">
        <w:t>.</w:t>
      </w:r>
    </w:p>
    <w:p w14:paraId="64201481" w14:textId="77777777" w:rsidR="000A155B" w:rsidRPr="00366249" w:rsidRDefault="000A155B" w:rsidP="00D37ED8">
      <w:pPr>
        <w:jc w:val="both"/>
        <w:rPr>
          <w:b/>
          <w:bCs/>
        </w:rPr>
      </w:pPr>
      <w:r w:rsidRPr="00553DD1">
        <w:rPr>
          <w:b/>
          <w:bCs/>
        </w:rPr>
        <w:t>Dall’insieme di questi argomenti la Regione Lombardia deriva la sua conclusione: l’art. 121, secondo comma, della Costituzione, tacendo della competenza regolamentare precedentemente assegnata al Consiglio, varrebbe sottrazione a questo e assegnazione alla Giunta</w:t>
      </w:r>
      <w:r w:rsidRPr="000A155B">
        <w:t xml:space="preserve">. </w:t>
      </w:r>
      <w:r w:rsidRPr="00366249">
        <w:rPr>
          <w:b/>
          <w:bCs/>
        </w:rPr>
        <w:t>Così, questo silenzio, secondo la sua </w:t>
      </w:r>
      <w:r w:rsidRPr="00366249">
        <w:rPr>
          <w:b/>
          <w:bCs/>
          <w:i/>
          <w:iCs/>
        </w:rPr>
        <w:t>ratio</w:t>
      </w:r>
      <w:r w:rsidRPr="00366249">
        <w:rPr>
          <w:b/>
          <w:bCs/>
        </w:rPr>
        <w:t xml:space="preserve">, sarebbe eloquente e tassativo. Le norme statutarie in contrasto dovrebbero conseguentemente </w:t>
      </w:r>
      <w:r w:rsidRPr="00366249">
        <w:rPr>
          <w:b/>
          <w:bCs/>
          <w:u w:val="single"/>
        </w:rPr>
        <w:t>essere "disapplicate"</w:t>
      </w:r>
      <w:r w:rsidRPr="00366249">
        <w:rPr>
          <w:b/>
          <w:bCs/>
        </w:rPr>
        <w:t xml:space="preserve"> e le leggi regionali incompatibili con quelle, ma conformi al silenzio dell’art. 121, secondo comma, della Costituzione – come quella in esame – non sarebbero costituzionalmente illegittime.</w:t>
      </w:r>
    </w:p>
    <w:p w14:paraId="3DBF7780" w14:textId="77777777" w:rsidR="000A155B" w:rsidRPr="00366249" w:rsidRDefault="000A155B" w:rsidP="00D37ED8">
      <w:pPr>
        <w:jc w:val="both"/>
        <w:rPr>
          <w:b/>
          <w:bCs/>
        </w:rPr>
      </w:pPr>
      <w:r w:rsidRPr="00366249">
        <w:rPr>
          <w:b/>
          <w:bCs/>
        </w:rPr>
        <w:t>7.4. – Nell’incontrovertibile mancanza di disciplina espressa, sul punto qui in contestazione, e nonostante i tanti (e non tutti ugualmente significativi) argomenti portati a sostegno, la tesi della Regione resistente non può essere accolta, per due generali ordini di ragioni.</w:t>
      </w:r>
    </w:p>
    <w:p w14:paraId="52BAF934" w14:textId="0DA0755F" w:rsidR="000A155B" w:rsidRPr="000A155B" w:rsidRDefault="000A155B" w:rsidP="00366249">
      <w:pPr>
        <w:jc w:val="both"/>
      </w:pPr>
      <w:r w:rsidRPr="00366249">
        <w:rPr>
          <w:b/>
          <w:bCs/>
        </w:rPr>
        <w:t xml:space="preserve">Innanzitutto, essa presuppone concettualmente un’alternativa rigida e su di essa si fonda: competenza sempre del Consiglio o sempre della Giunta, tale che, in generale, se non è tutta dell’uno </w:t>
      </w:r>
      <w:proofErr w:type="gramStart"/>
      <w:r w:rsidRPr="00366249">
        <w:rPr>
          <w:b/>
          <w:bCs/>
        </w:rPr>
        <w:t>non possa</w:t>
      </w:r>
      <w:proofErr w:type="gramEnd"/>
      <w:r w:rsidRPr="00366249">
        <w:rPr>
          <w:b/>
          <w:bCs/>
        </w:rPr>
        <w:t xml:space="preserve"> che essere tutta della seconda: cosicché, non avendola (più) l’art. 121 della Costituzione assegnata al Consiglio, essa sarebbe implicitamente ma necessariamente assegnata alla Giunta. Non è così, poiché </w:t>
      </w:r>
      <w:r w:rsidRPr="00366249">
        <w:rPr>
          <w:b/>
          <w:bCs/>
          <w:u w:val="single"/>
        </w:rPr>
        <w:t>le scelte organizzative in proposito possono essere molteplici, oltre le due radicali.</w:t>
      </w:r>
      <w:r w:rsidRPr="000A155B">
        <w:t xml:space="preserve"> </w:t>
      </w:r>
      <w:r w:rsidRPr="00366249">
        <w:rPr>
          <w:b/>
          <w:bCs/>
        </w:rPr>
        <w:t>Si può immaginare che il potere regolamentare non sia </w:t>
      </w:r>
      <w:proofErr w:type="spellStart"/>
      <w:proofErr w:type="gramStart"/>
      <w:r w:rsidRPr="00366249">
        <w:rPr>
          <w:b/>
          <w:bCs/>
        </w:rPr>
        <w:t>pre</w:t>
      </w:r>
      <w:proofErr w:type="spellEnd"/>
      <w:r w:rsidRPr="00366249">
        <w:rPr>
          <w:b/>
          <w:bCs/>
        </w:rPr>
        <w:t>-assegnato</w:t>
      </w:r>
      <w:proofErr w:type="gramEnd"/>
      <w:r w:rsidRPr="00366249">
        <w:rPr>
          <w:b/>
          <w:bCs/>
        </w:rPr>
        <w:t xml:space="preserve"> in via esclusiva (da norma statutaria o costituzionale) al Consiglio o alla Giunta ma che lo statuto riconosca al legislatore regionale la facoltà di disciplinarlo, organizzandolo in relazione alla materia da regolare e in funzione dell’ampiezza di scelta che la legge lascia aperta all’apprezzamento discrezionale del potere regolamentare. </w:t>
      </w:r>
      <w:r w:rsidR="00366249">
        <w:t>[…]</w:t>
      </w:r>
    </w:p>
    <w:p w14:paraId="69F7262A" w14:textId="77777777" w:rsidR="000A155B" w:rsidRPr="00366249" w:rsidRDefault="000A155B" w:rsidP="00D37ED8">
      <w:pPr>
        <w:jc w:val="both"/>
        <w:rPr>
          <w:b/>
          <w:bCs/>
        </w:rPr>
      </w:pPr>
      <w:r w:rsidRPr="00366249">
        <w:rPr>
          <w:b/>
          <w:bCs/>
        </w:rPr>
        <w:t xml:space="preserve">In secondo luogo, è l’autonomia statutaria l’altro argomento che impedisce di ritenere l’esistenza di soluzioni organizzative obbligate, in mancanza di una disciplina costituzionale chiaramente riconoscibile. </w:t>
      </w:r>
      <w:r w:rsidRPr="00366249">
        <w:rPr>
          <w:b/>
          <w:bCs/>
          <w:u w:val="single"/>
        </w:rPr>
        <w:t>L’autonomia è la regola; i limiti sono l’eccezione</w:t>
      </w:r>
      <w:r w:rsidRPr="00366249">
        <w:rPr>
          <w:b/>
          <w:bCs/>
        </w:rPr>
        <w:t>. L’espressione "in armonia con la Costituzione", che compare nel primo comma dell’art. 123 della Costituzione, non consente perciò un eccesso di costruttivismo interpretativo, come quello di cui fa mostra la difesa della Regione Lombardia, quando argomenta da una presunta forma di governo regionale, implicitamente stabilita dagli articoli 121 e 123 della Costituzione, la spettanza del potere regolamentare alla Giunta regionale: un modo di ragionare che, oltre al rischio di sovrapporre modelli concettuali alle regole particolari, comporta anche quello di comprimere indebitamente la potestà statutaria di tutte le regioni ad autonomia ordinaria, tramite non controllabili inferenze e deduzioni da concetti generali, assunti </w:t>
      </w:r>
      <w:r w:rsidRPr="00366249">
        <w:rPr>
          <w:b/>
          <w:bCs/>
          <w:i/>
          <w:iCs/>
        </w:rPr>
        <w:t>a priori</w:t>
      </w:r>
      <w:r w:rsidRPr="00366249">
        <w:rPr>
          <w:b/>
          <w:bCs/>
        </w:rPr>
        <w:t>.</w:t>
      </w:r>
    </w:p>
    <w:p w14:paraId="6D5ED41D" w14:textId="0448AE60" w:rsidR="00225D94" w:rsidRDefault="00225D94" w:rsidP="00D37ED8">
      <w:pPr>
        <w:jc w:val="both"/>
      </w:pPr>
      <w:r>
        <w:t>[…]</w:t>
      </w:r>
    </w:p>
    <w:p w14:paraId="10036C82" w14:textId="77777777" w:rsidR="000A155B" w:rsidRPr="000A155B" w:rsidRDefault="000A155B" w:rsidP="00D37ED8">
      <w:pPr>
        <w:jc w:val="both"/>
      </w:pPr>
      <w:r w:rsidRPr="000A155B">
        <w:t>per questi motivi</w:t>
      </w:r>
    </w:p>
    <w:p w14:paraId="6E66647B" w14:textId="77777777" w:rsidR="000A155B" w:rsidRPr="000A155B" w:rsidRDefault="000A155B" w:rsidP="00D37ED8">
      <w:pPr>
        <w:jc w:val="both"/>
      </w:pPr>
      <w:r w:rsidRPr="000A155B">
        <w:t>LA CORTE COSTITUZIONALE</w:t>
      </w:r>
    </w:p>
    <w:p w14:paraId="6929B7CB" w14:textId="77777777" w:rsidR="000A155B" w:rsidRPr="000A155B" w:rsidRDefault="000A155B" w:rsidP="00D37ED8">
      <w:pPr>
        <w:jc w:val="both"/>
      </w:pPr>
      <w:r w:rsidRPr="000A155B">
        <w:t xml:space="preserve">riservata ogni decisione sulla questione di legittimità costituzionale dell’art. 3, comma 12, della legge della Regione Lombardia 6 marzo 2002, n. 4 (Norme per l’attuazione della programmazione regionale e per la modifica e l’integrazione di disposizioni legislative), sollevata, in riferimento all’art. 117, secondo </w:t>
      </w:r>
      <w:r w:rsidRPr="000A155B">
        <w:lastRenderedPageBreak/>
        <w:t>comma, lettera </w:t>
      </w:r>
      <w:r w:rsidRPr="000A155B">
        <w:rPr>
          <w:i/>
          <w:iCs/>
        </w:rPr>
        <w:t>s</w:t>
      </w:r>
      <w:r w:rsidRPr="000A155B">
        <w:t>), della Costituzione, dal Presidente del Consiglio dei ministri con il ricorso iscritto al reg. ricorsi n. 34 del 2002;</w:t>
      </w:r>
    </w:p>
    <w:p w14:paraId="007CE35B" w14:textId="77777777" w:rsidR="000A155B" w:rsidRPr="000A155B" w:rsidRDefault="000A155B" w:rsidP="00D37ED8">
      <w:pPr>
        <w:jc w:val="both"/>
      </w:pPr>
      <w:r w:rsidRPr="000A155B">
        <w:t>riuniti i giudizi,</w:t>
      </w:r>
    </w:p>
    <w:p w14:paraId="522AD028" w14:textId="77777777" w:rsidR="000A155B" w:rsidRPr="00277C64" w:rsidRDefault="000A155B" w:rsidP="00D37ED8">
      <w:pPr>
        <w:jc w:val="both"/>
        <w:rPr>
          <w:b/>
          <w:bCs/>
        </w:rPr>
      </w:pPr>
      <w:r w:rsidRPr="000A155B">
        <w:t>1</w:t>
      </w:r>
      <w:r w:rsidRPr="00277C64">
        <w:rPr>
          <w:b/>
          <w:bCs/>
        </w:rPr>
        <w:t>) </w:t>
      </w:r>
      <w:r w:rsidRPr="00277C64">
        <w:rPr>
          <w:b/>
          <w:bCs/>
          <w:i/>
          <w:iCs/>
        </w:rPr>
        <w:t>dichiara</w:t>
      </w:r>
      <w:r w:rsidRPr="00277C64">
        <w:rPr>
          <w:b/>
          <w:bCs/>
        </w:rPr>
        <w:t> l’illegittimità costituzionale degli articoli 1, commi 2 e 3; 2, comma 5 (nel testo sostituito dall’art. 1, comma 3, lettera </w:t>
      </w:r>
      <w:r w:rsidRPr="00277C64">
        <w:rPr>
          <w:b/>
          <w:bCs/>
          <w:i/>
          <w:iCs/>
        </w:rPr>
        <w:t>b</w:t>
      </w:r>
      <w:r w:rsidRPr="00277C64">
        <w:rPr>
          <w:b/>
          <w:bCs/>
        </w:rPr>
        <w:t>), della legge della Regione Lombardia n. 4 del 2002), e 4, comma 3, della legge della Regione Lombardia 12 gennaio 2002, n. 2 (Istituzione del Corpo forestale regionale);</w:t>
      </w:r>
    </w:p>
    <w:p w14:paraId="4F806DEA" w14:textId="77777777" w:rsidR="000A155B" w:rsidRPr="000A155B" w:rsidRDefault="000A155B" w:rsidP="00D37ED8">
      <w:pPr>
        <w:jc w:val="both"/>
      </w:pPr>
      <w:r w:rsidRPr="000A155B">
        <w:t>2) </w:t>
      </w:r>
      <w:r w:rsidRPr="000A155B">
        <w:rPr>
          <w:i/>
          <w:iCs/>
        </w:rPr>
        <w:t>dichiara</w:t>
      </w:r>
      <w:r w:rsidRPr="000A155B">
        <w:t> inammissibile la questione di legittimità costituzionale dell’art. 2, commi 1-4, della legge della Regione Lombardia n. 2 del 2002, nel testo sostituito dall’art. 1, comma 3, lettera </w:t>
      </w:r>
      <w:r w:rsidRPr="000A155B">
        <w:rPr>
          <w:i/>
          <w:iCs/>
        </w:rPr>
        <w:t>b</w:t>
      </w:r>
      <w:r w:rsidRPr="000A155B">
        <w:t>), della legge della Regione Lombardia n. 4 del 2002, sollevata, in riferimento agli articoli 117, secondo comma, lettere </w:t>
      </w:r>
      <w:r w:rsidRPr="000A155B">
        <w:rPr>
          <w:i/>
          <w:iCs/>
        </w:rPr>
        <w:t>q</w:t>
      </w:r>
      <w:r w:rsidRPr="000A155B">
        <w:t>) e </w:t>
      </w:r>
      <w:r w:rsidRPr="000A155B">
        <w:rPr>
          <w:i/>
          <w:iCs/>
        </w:rPr>
        <w:t>s</w:t>
      </w:r>
      <w:r w:rsidRPr="000A155B">
        <w:t>), e 118 della Costituzione, dal Presidente del Consiglio dei ministri, con il ricorso iscritto al reg. ricorsi n. 34 del 2002 in epigrafe;</w:t>
      </w:r>
    </w:p>
    <w:p w14:paraId="0D059815" w14:textId="77777777" w:rsidR="000A155B" w:rsidRPr="000A155B" w:rsidRDefault="000A155B" w:rsidP="00D37ED8">
      <w:pPr>
        <w:jc w:val="both"/>
      </w:pPr>
      <w:r w:rsidRPr="000A155B">
        <w:t>3) </w:t>
      </w:r>
      <w:r w:rsidRPr="000A155B">
        <w:rPr>
          <w:i/>
          <w:iCs/>
        </w:rPr>
        <w:t>dichiara</w:t>
      </w:r>
      <w:r w:rsidRPr="000A155B">
        <w:t> cessata la materia del contendere in relazione alle questioni di legittimità costituzionale degli articoli 1, comma 1, e 2 della legge della Regione Lombardia n. 2 del 2002, nel testo anteriore alle modifiche recate dalla legge della Regione Lombardia n. 4 del 2002, sollevate, in riferimento agli articoli 114, 117, secondo comma, lettere </w:t>
      </w:r>
      <w:r w:rsidRPr="000A155B">
        <w:rPr>
          <w:i/>
          <w:iCs/>
        </w:rPr>
        <w:t>q</w:t>
      </w:r>
      <w:r w:rsidRPr="000A155B">
        <w:t>) e </w:t>
      </w:r>
      <w:r w:rsidRPr="000A155B">
        <w:rPr>
          <w:i/>
          <w:iCs/>
        </w:rPr>
        <w:t>s</w:t>
      </w:r>
      <w:r w:rsidRPr="000A155B">
        <w:t>), 118 e 120 della Costituzione, dal Presidente del Consiglio dei ministri, con il ricorso iscritto al reg. ricorsi n. 29 del 2002 in epigrafe;</w:t>
      </w:r>
    </w:p>
    <w:p w14:paraId="2AA80A96" w14:textId="77777777" w:rsidR="000A155B" w:rsidRPr="000A155B" w:rsidRDefault="000A155B" w:rsidP="00D37ED8">
      <w:pPr>
        <w:jc w:val="both"/>
      </w:pPr>
      <w:r w:rsidRPr="000A155B">
        <w:t>4) </w:t>
      </w:r>
      <w:r w:rsidRPr="000A155B">
        <w:rPr>
          <w:i/>
          <w:iCs/>
        </w:rPr>
        <w:t>dichiara</w:t>
      </w:r>
      <w:r w:rsidRPr="000A155B">
        <w:t> non fondata la questione di legittimità costituzionale dell’art. 3 della legge della Regione Lombardia n. 2 del 2002, sollevata, in riferimento agli articoli 114 e 120 della Costituzione, dal Presidente del Consiglio dei ministri, con il ricorso iscritto al reg. ricorsi n. 29 del 2002 in epigrafe.</w:t>
      </w:r>
    </w:p>
    <w:p w14:paraId="0BAAF5BC" w14:textId="77777777" w:rsidR="000A155B" w:rsidRPr="000A155B" w:rsidRDefault="000A155B" w:rsidP="00D37ED8">
      <w:pPr>
        <w:jc w:val="both"/>
      </w:pPr>
      <w:r w:rsidRPr="000A155B">
        <w:t>Così deciso in Roma, nella sede della Corte costituzionale, Palazzo della Consulta, il 13 ottobre 2003.</w:t>
      </w:r>
    </w:p>
    <w:p w14:paraId="38A1ED96" w14:textId="77777777" w:rsidR="000A155B" w:rsidRPr="000A155B" w:rsidRDefault="000A155B" w:rsidP="00D37ED8">
      <w:pPr>
        <w:jc w:val="both"/>
      </w:pPr>
      <w:r w:rsidRPr="000A155B">
        <w:t>Riccardo CHIEPPA, Presidente</w:t>
      </w:r>
    </w:p>
    <w:p w14:paraId="3724677D" w14:textId="77777777" w:rsidR="000A155B" w:rsidRPr="000A155B" w:rsidRDefault="000A155B" w:rsidP="00D37ED8">
      <w:pPr>
        <w:jc w:val="both"/>
      </w:pPr>
      <w:r w:rsidRPr="000A155B">
        <w:t>Gustavo ZAGREBELSKY, Redattore</w:t>
      </w:r>
    </w:p>
    <w:p w14:paraId="0AA2F1A4" w14:textId="77777777" w:rsidR="000A155B" w:rsidRPr="000A155B" w:rsidRDefault="000A155B" w:rsidP="00D37ED8">
      <w:pPr>
        <w:jc w:val="both"/>
      </w:pPr>
      <w:r w:rsidRPr="000A155B">
        <w:t>Depositata in Cancelleria il 21 ottobre 2003.</w:t>
      </w:r>
    </w:p>
    <w:p w14:paraId="766BA4CE" w14:textId="77777777" w:rsidR="00B50B1F" w:rsidRDefault="00B50B1F" w:rsidP="00D37ED8">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4C50"/>
    <w:rsid w:val="00054205"/>
    <w:rsid w:val="000A155B"/>
    <w:rsid w:val="00225D94"/>
    <w:rsid w:val="00277C64"/>
    <w:rsid w:val="00366249"/>
    <w:rsid w:val="00553DD1"/>
    <w:rsid w:val="00585EC6"/>
    <w:rsid w:val="006712BA"/>
    <w:rsid w:val="008560ED"/>
    <w:rsid w:val="008D53C3"/>
    <w:rsid w:val="009E4C50"/>
    <w:rsid w:val="00B360FF"/>
    <w:rsid w:val="00B50B1F"/>
    <w:rsid w:val="00B83957"/>
    <w:rsid w:val="00D37ED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4ACBA"/>
  <w15:chartTrackingRefBased/>
  <w15:docId w15:val="{FD2F61C0-F539-428B-A553-1501FD578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E4C5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E4C5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E4C50"/>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E4C50"/>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E4C50"/>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E4C50"/>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E4C50"/>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E4C50"/>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E4C50"/>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E4C5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E4C5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E4C5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E4C5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E4C5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E4C5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E4C5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E4C5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E4C50"/>
    <w:rPr>
      <w:rFonts w:eastAsiaTheme="majorEastAsia" w:cstheme="majorBidi"/>
      <w:color w:val="272727" w:themeColor="text1" w:themeTint="D8"/>
    </w:rPr>
  </w:style>
  <w:style w:type="paragraph" w:styleId="Titolo">
    <w:name w:val="Title"/>
    <w:basedOn w:val="Normale"/>
    <w:next w:val="Normale"/>
    <w:link w:val="TitoloCarattere"/>
    <w:uiPriority w:val="10"/>
    <w:qFormat/>
    <w:rsid w:val="009E4C5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E4C5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E4C50"/>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E4C5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E4C50"/>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E4C50"/>
    <w:rPr>
      <w:i/>
      <w:iCs/>
      <w:color w:val="404040" w:themeColor="text1" w:themeTint="BF"/>
    </w:rPr>
  </w:style>
  <w:style w:type="paragraph" w:styleId="Paragrafoelenco">
    <w:name w:val="List Paragraph"/>
    <w:basedOn w:val="Normale"/>
    <w:uiPriority w:val="34"/>
    <w:qFormat/>
    <w:rsid w:val="009E4C50"/>
    <w:pPr>
      <w:ind w:left="720"/>
      <w:contextualSpacing/>
    </w:pPr>
  </w:style>
  <w:style w:type="character" w:styleId="Enfasiintensa">
    <w:name w:val="Intense Emphasis"/>
    <w:basedOn w:val="Carpredefinitoparagrafo"/>
    <w:uiPriority w:val="21"/>
    <w:qFormat/>
    <w:rsid w:val="009E4C50"/>
    <w:rPr>
      <w:i/>
      <w:iCs/>
      <w:color w:val="0F4761" w:themeColor="accent1" w:themeShade="BF"/>
    </w:rPr>
  </w:style>
  <w:style w:type="paragraph" w:styleId="Citazioneintensa">
    <w:name w:val="Intense Quote"/>
    <w:basedOn w:val="Normale"/>
    <w:next w:val="Normale"/>
    <w:link w:val="CitazioneintensaCarattere"/>
    <w:uiPriority w:val="30"/>
    <w:qFormat/>
    <w:rsid w:val="009E4C5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E4C50"/>
    <w:rPr>
      <w:i/>
      <w:iCs/>
      <w:color w:val="0F4761" w:themeColor="accent1" w:themeShade="BF"/>
    </w:rPr>
  </w:style>
  <w:style w:type="character" w:styleId="Riferimentointenso">
    <w:name w:val="Intense Reference"/>
    <w:basedOn w:val="Carpredefinitoparagrafo"/>
    <w:uiPriority w:val="32"/>
    <w:qFormat/>
    <w:rsid w:val="009E4C50"/>
    <w:rPr>
      <w:b/>
      <w:bCs/>
      <w:smallCaps/>
      <w:color w:val="0F4761" w:themeColor="accent1" w:themeShade="BF"/>
      <w:spacing w:val="5"/>
    </w:rPr>
  </w:style>
  <w:style w:type="character" w:styleId="Collegamentoipertestuale">
    <w:name w:val="Hyperlink"/>
    <w:basedOn w:val="Carpredefinitoparagrafo"/>
    <w:uiPriority w:val="99"/>
    <w:unhideWhenUsed/>
    <w:rsid w:val="000A155B"/>
    <w:rPr>
      <w:color w:val="467886" w:themeColor="hyperlink"/>
      <w:u w:val="single"/>
    </w:rPr>
  </w:style>
  <w:style w:type="character" w:styleId="Menzionenonrisolta">
    <w:name w:val="Unresolved Mention"/>
    <w:basedOn w:val="Carpredefinitoparagrafo"/>
    <w:uiPriority w:val="99"/>
    <w:semiHidden/>
    <w:unhideWhenUsed/>
    <w:rsid w:val="000A15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9043587">
      <w:bodyDiv w:val="1"/>
      <w:marLeft w:val="0"/>
      <w:marRight w:val="0"/>
      <w:marTop w:val="0"/>
      <w:marBottom w:val="0"/>
      <w:divBdr>
        <w:top w:val="none" w:sz="0" w:space="0" w:color="auto"/>
        <w:left w:val="none" w:sz="0" w:space="0" w:color="auto"/>
        <w:bottom w:val="none" w:sz="0" w:space="0" w:color="auto"/>
        <w:right w:val="none" w:sz="0" w:space="0" w:color="auto"/>
      </w:divBdr>
      <w:divsChild>
        <w:div w:id="2009096229">
          <w:marLeft w:val="0"/>
          <w:marRight w:val="0"/>
          <w:marTop w:val="0"/>
          <w:marBottom w:val="1500"/>
          <w:divBdr>
            <w:top w:val="none" w:sz="0" w:space="0" w:color="auto"/>
            <w:left w:val="none" w:sz="0" w:space="0" w:color="auto"/>
            <w:bottom w:val="none" w:sz="0" w:space="0" w:color="auto"/>
            <w:right w:val="none" w:sz="0" w:space="0" w:color="auto"/>
          </w:divBdr>
          <w:divsChild>
            <w:div w:id="1863855067">
              <w:marLeft w:val="-225"/>
              <w:marRight w:val="-225"/>
              <w:marTop w:val="0"/>
              <w:marBottom w:val="0"/>
              <w:divBdr>
                <w:top w:val="none" w:sz="0" w:space="0" w:color="auto"/>
                <w:left w:val="none" w:sz="0" w:space="0" w:color="auto"/>
                <w:bottom w:val="none" w:sz="0" w:space="0" w:color="auto"/>
                <w:right w:val="none" w:sz="0" w:space="0" w:color="auto"/>
              </w:divBdr>
              <w:divsChild>
                <w:div w:id="785467603">
                  <w:marLeft w:val="0"/>
                  <w:marRight w:val="0"/>
                  <w:marTop w:val="0"/>
                  <w:marBottom w:val="0"/>
                  <w:divBdr>
                    <w:top w:val="none" w:sz="0" w:space="0" w:color="auto"/>
                    <w:left w:val="none" w:sz="0" w:space="0" w:color="auto"/>
                    <w:bottom w:val="none" w:sz="0" w:space="0" w:color="auto"/>
                    <w:right w:val="none" w:sz="0" w:space="0" w:color="auto"/>
                  </w:divBdr>
                  <w:divsChild>
                    <w:div w:id="891889748">
                      <w:marLeft w:val="0"/>
                      <w:marRight w:val="0"/>
                      <w:marTop w:val="0"/>
                      <w:marBottom w:val="0"/>
                      <w:divBdr>
                        <w:top w:val="none" w:sz="0" w:space="0" w:color="auto"/>
                        <w:left w:val="none" w:sz="0" w:space="0" w:color="auto"/>
                        <w:bottom w:val="none" w:sz="0" w:space="0" w:color="auto"/>
                        <w:right w:val="none" w:sz="0" w:space="0" w:color="auto"/>
                      </w:divBdr>
                      <w:divsChild>
                        <w:div w:id="193542726">
                          <w:marLeft w:val="0"/>
                          <w:marRight w:val="0"/>
                          <w:marTop w:val="0"/>
                          <w:marBottom w:val="0"/>
                          <w:divBdr>
                            <w:top w:val="none" w:sz="0" w:space="0" w:color="auto"/>
                            <w:left w:val="none" w:sz="0" w:space="0" w:color="auto"/>
                            <w:bottom w:val="none" w:sz="0" w:space="0" w:color="auto"/>
                            <w:right w:val="none" w:sz="0" w:space="0" w:color="auto"/>
                          </w:divBdr>
                          <w:divsChild>
                            <w:div w:id="1839030349">
                              <w:marLeft w:val="0"/>
                              <w:marRight w:val="0"/>
                              <w:marTop w:val="0"/>
                              <w:marBottom w:val="0"/>
                              <w:divBdr>
                                <w:top w:val="none" w:sz="0" w:space="0" w:color="auto"/>
                                <w:left w:val="none" w:sz="0" w:space="0" w:color="auto"/>
                                <w:bottom w:val="none" w:sz="0" w:space="0" w:color="auto"/>
                                <w:right w:val="none" w:sz="0" w:space="0" w:color="auto"/>
                              </w:divBdr>
                              <w:divsChild>
                                <w:div w:id="770056087">
                                  <w:marLeft w:val="0"/>
                                  <w:marRight w:val="0"/>
                                  <w:marTop w:val="0"/>
                                  <w:marBottom w:val="0"/>
                                  <w:divBdr>
                                    <w:top w:val="none" w:sz="0" w:space="0" w:color="auto"/>
                                    <w:left w:val="none" w:sz="0" w:space="0" w:color="auto"/>
                                    <w:bottom w:val="none" w:sz="0" w:space="0" w:color="auto"/>
                                    <w:right w:val="none" w:sz="0" w:space="0" w:color="auto"/>
                                  </w:divBdr>
                                  <w:divsChild>
                                    <w:div w:id="1364474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3676840">
      <w:bodyDiv w:val="1"/>
      <w:marLeft w:val="0"/>
      <w:marRight w:val="0"/>
      <w:marTop w:val="0"/>
      <w:marBottom w:val="0"/>
      <w:divBdr>
        <w:top w:val="none" w:sz="0" w:space="0" w:color="auto"/>
        <w:left w:val="none" w:sz="0" w:space="0" w:color="auto"/>
        <w:bottom w:val="none" w:sz="0" w:space="0" w:color="auto"/>
        <w:right w:val="none" w:sz="0" w:space="0" w:color="auto"/>
      </w:divBdr>
      <w:divsChild>
        <w:div w:id="2042240763">
          <w:marLeft w:val="0"/>
          <w:marRight w:val="0"/>
          <w:marTop w:val="0"/>
          <w:marBottom w:val="1500"/>
          <w:divBdr>
            <w:top w:val="none" w:sz="0" w:space="0" w:color="auto"/>
            <w:left w:val="none" w:sz="0" w:space="0" w:color="auto"/>
            <w:bottom w:val="none" w:sz="0" w:space="0" w:color="auto"/>
            <w:right w:val="none" w:sz="0" w:space="0" w:color="auto"/>
          </w:divBdr>
          <w:divsChild>
            <w:div w:id="1438135159">
              <w:marLeft w:val="-225"/>
              <w:marRight w:val="-225"/>
              <w:marTop w:val="0"/>
              <w:marBottom w:val="0"/>
              <w:divBdr>
                <w:top w:val="none" w:sz="0" w:space="0" w:color="auto"/>
                <w:left w:val="none" w:sz="0" w:space="0" w:color="auto"/>
                <w:bottom w:val="none" w:sz="0" w:space="0" w:color="auto"/>
                <w:right w:val="none" w:sz="0" w:space="0" w:color="auto"/>
              </w:divBdr>
              <w:divsChild>
                <w:div w:id="1754816331">
                  <w:marLeft w:val="0"/>
                  <w:marRight w:val="0"/>
                  <w:marTop w:val="0"/>
                  <w:marBottom w:val="0"/>
                  <w:divBdr>
                    <w:top w:val="none" w:sz="0" w:space="0" w:color="auto"/>
                    <w:left w:val="none" w:sz="0" w:space="0" w:color="auto"/>
                    <w:bottom w:val="none" w:sz="0" w:space="0" w:color="auto"/>
                    <w:right w:val="none" w:sz="0" w:space="0" w:color="auto"/>
                  </w:divBdr>
                  <w:divsChild>
                    <w:div w:id="251011537">
                      <w:marLeft w:val="0"/>
                      <w:marRight w:val="0"/>
                      <w:marTop w:val="0"/>
                      <w:marBottom w:val="0"/>
                      <w:divBdr>
                        <w:top w:val="none" w:sz="0" w:space="0" w:color="auto"/>
                        <w:left w:val="none" w:sz="0" w:space="0" w:color="auto"/>
                        <w:bottom w:val="none" w:sz="0" w:space="0" w:color="auto"/>
                        <w:right w:val="none" w:sz="0" w:space="0" w:color="auto"/>
                      </w:divBdr>
                      <w:divsChild>
                        <w:div w:id="1404529695">
                          <w:marLeft w:val="0"/>
                          <w:marRight w:val="0"/>
                          <w:marTop w:val="0"/>
                          <w:marBottom w:val="0"/>
                          <w:divBdr>
                            <w:top w:val="none" w:sz="0" w:space="0" w:color="auto"/>
                            <w:left w:val="none" w:sz="0" w:space="0" w:color="auto"/>
                            <w:bottom w:val="none" w:sz="0" w:space="0" w:color="auto"/>
                            <w:right w:val="none" w:sz="0" w:space="0" w:color="auto"/>
                          </w:divBdr>
                          <w:divsChild>
                            <w:div w:id="592664027">
                              <w:marLeft w:val="0"/>
                              <w:marRight w:val="0"/>
                              <w:marTop w:val="0"/>
                              <w:marBottom w:val="0"/>
                              <w:divBdr>
                                <w:top w:val="none" w:sz="0" w:space="0" w:color="auto"/>
                                <w:left w:val="none" w:sz="0" w:space="0" w:color="auto"/>
                                <w:bottom w:val="none" w:sz="0" w:space="0" w:color="auto"/>
                                <w:right w:val="none" w:sz="0" w:space="0" w:color="auto"/>
                              </w:divBdr>
                              <w:divsChild>
                                <w:div w:id="760222595">
                                  <w:marLeft w:val="0"/>
                                  <w:marRight w:val="0"/>
                                  <w:marTop w:val="0"/>
                                  <w:marBottom w:val="0"/>
                                  <w:divBdr>
                                    <w:top w:val="none" w:sz="0" w:space="0" w:color="auto"/>
                                    <w:left w:val="none" w:sz="0" w:space="0" w:color="auto"/>
                                    <w:bottom w:val="none" w:sz="0" w:space="0" w:color="auto"/>
                                    <w:right w:val="none" w:sz="0" w:space="0" w:color="auto"/>
                                  </w:divBdr>
                                  <w:divsChild>
                                    <w:div w:id="215048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iurcost.org/decisioni/2002/0087o-02.html" TargetMode="External"/><Relationship Id="rId5" Type="http://schemas.openxmlformats.org/officeDocument/2006/relationships/hyperlink" Target="https://giurcost.org/decisioni/2000/0477s-00.html" TargetMode="External"/><Relationship Id="rId4" Type="http://schemas.openxmlformats.org/officeDocument/2006/relationships/hyperlink" Target="https://giurcost.org/decisioni/2003/0201s-03.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5</Pages>
  <Words>2405</Words>
  <Characters>13713</Characters>
  <Application>Microsoft Office Word</Application>
  <DocSecurity>0</DocSecurity>
  <Lines>114</Lines>
  <Paragraphs>32</Paragraphs>
  <ScaleCrop>false</ScaleCrop>
  <Company/>
  <LinksUpToDate>false</LinksUpToDate>
  <CharactersWithSpaces>16086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12</cp:revision>
  <dcterms:created xsi:type="dcterms:W3CDTF">2025-10-08T12:15:00Z</dcterms:created>
  <dcterms:modified xsi:type="dcterms:W3CDTF">2025-10-08T12:32:00Z</dcterms:modified>
</cp:coreProperties>
</file>