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D6949" w14:textId="77777777" w:rsidR="00A57B35" w:rsidRPr="00A57B35" w:rsidRDefault="00A57B35" w:rsidP="001C6667">
      <w:pPr>
        <w:jc w:val="both"/>
      </w:pPr>
      <w:r w:rsidRPr="00A57B35">
        <w:br/>
        <w:t>SENTENZA N. 372</w:t>
      </w:r>
    </w:p>
    <w:p w14:paraId="63ECFB32" w14:textId="77777777" w:rsidR="00A57B35" w:rsidRPr="00A57B35" w:rsidRDefault="00A57B35" w:rsidP="001C6667">
      <w:pPr>
        <w:jc w:val="both"/>
      </w:pPr>
      <w:r w:rsidRPr="00A57B35">
        <w:t>ANNO 2004</w:t>
      </w:r>
    </w:p>
    <w:p w14:paraId="156D99AA" w14:textId="77777777" w:rsidR="00A57B35" w:rsidRPr="00A57B35" w:rsidRDefault="00A57B35" w:rsidP="001C6667">
      <w:pPr>
        <w:jc w:val="both"/>
      </w:pPr>
      <w:r w:rsidRPr="00A57B35">
        <w:t> </w:t>
      </w:r>
    </w:p>
    <w:p w14:paraId="2A4B2E27" w14:textId="77777777" w:rsidR="00A57B35" w:rsidRPr="00A57B35" w:rsidRDefault="00A57B35" w:rsidP="001C6667">
      <w:pPr>
        <w:jc w:val="both"/>
      </w:pPr>
      <w:r w:rsidRPr="00A57B35">
        <w:t>REPUBBLICA ITALIANA</w:t>
      </w:r>
    </w:p>
    <w:p w14:paraId="21364505" w14:textId="77777777" w:rsidR="00A57B35" w:rsidRPr="00A57B35" w:rsidRDefault="00A57B35" w:rsidP="001C6667">
      <w:pPr>
        <w:jc w:val="both"/>
      </w:pPr>
      <w:r w:rsidRPr="00A57B35">
        <w:t>IN NOME DEL POPOLO ITALIANO</w:t>
      </w:r>
    </w:p>
    <w:p w14:paraId="3A0282CB" w14:textId="77777777" w:rsidR="00A57B35" w:rsidRPr="00A57B35" w:rsidRDefault="00A57B35" w:rsidP="001C6667">
      <w:pPr>
        <w:jc w:val="both"/>
      </w:pPr>
      <w:r w:rsidRPr="00A57B35">
        <w:t>LA CORTE COSTITUZIONALE</w:t>
      </w:r>
    </w:p>
    <w:p w14:paraId="0D608582" w14:textId="77777777" w:rsidR="00A57B35" w:rsidRPr="00A57B35" w:rsidRDefault="00A57B35" w:rsidP="001C6667">
      <w:pPr>
        <w:jc w:val="both"/>
      </w:pPr>
      <w:r w:rsidRPr="00A57B35">
        <w:t>composta dai signori:</w:t>
      </w:r>
    </w:p>
    <w:p w14:paraId="4AEE84F2" w14:textId="77777777" w:rsidR="00A57B35" w:rsidRPr="00A57B35" w:rsidRDefault="00A57B35" w:rsidP="001C6667">
      <w:pPr>
        <w:jc w:val="both"/>
      </w:pPr>
      <w:r w:rsidRPr="00A57B35">
        <w:t>- Valerio                                   ONIDA                                  Presidente</w:t>
      </w:r>
    </w:p>
    <w:p w14:paraId="3B6F2503" w14:textId="77777777" w:rsidR="00A57B35" w:rsidRPr="00A57B35" w:rsidRDefault="00A57B35" w:rsidP="001C6667">
      <w:pPr>
        <w:jc w:val="both"/>
      </w:pPr>
      <w:r w:rsidRPr="00A57B35">
        <w:t>- Carlo                                      MEZZANOTTE                    Giudice</w:t>
      </w:r>
    </w:p>
    <w:p w14:paraId="31EBA98D" w14:textId="77777777" w:rsidR="00A57B35" w:rsidRPr="00A57B35" w:rsidRDefault="00A57B35" w:rsidP="001C6667">
      <w:pPr>
        <w:jc w:val="both"/>
      </w:pPr>
      <w:r w:rsidRPr="00A57B35">
        <w:t>- Guido                                     NEPPI MODONA                   "</w:t>
      </w:r>
    </w:p>
    <w:p w14:paraId="38D4484F" w14:textId="77777777" w:rsidR="00A57B35" w:rsidRPr="00A57B35" w:rsidRDefault="00A57B35" w:rsidP="001C6667">
      <w:pPr>
        <w:jc w:val="both"/>
      </w:pPr>
      <w:r w:rsidRPr="00A57B35">
        <w:t>- Piero Alberto                          CAPOTOSTI                            "</w:t>
      </w:r>
    </w:p>
    <w:p w14:paraId="42E6E07B" w14:textId="77777777" w:rsidR="00A57B35" w:rsidRPr="00A57B35" w:rsidRDefault="00A57B35" w:rsidP="001C6667">
      <w:pPr>
        <w:jc w:val="both"/>
      </w:pPr>
      <w:r w:rsidRPr="00A57B35">
        <w:t>- Annibale                                 MARINI                                   "</w:t>
      </w:r>
    </w:p>
    <w:p w14:paraId="2E3EAA19" w14:textId="77777777" w:rsidR="00A57B35" w:rsidRPr="00A57B35" w:rsidRDefault="00A57B35" w:rsidP="001C6667">
      <w:pPr>
        <w:jc w:val="both"/>
      </w:pPr>
      <w:r w:rsidRPr="00A57B35">
        <w:t>- Franco                                    BILE                                         "</w:t>
      </w:r>
    </w:p>
    <w:p w14:paraId="35104BA3" w14:textId="77777777" w:rsidR="00A57B35" w:rsidRPr="00A57B35" w:rsidRDefault="00A57B35" w:rsidP="001C6667">
      <w:pPr>
        <w:jc w:val="both"/>
      </w:pPr>
      <w:r w:rsidRPr="00A57B35">
        <w:t>- Giovanni Maria                      FLICK                                      "</w:t>
      </w:r>
    </w:p>
    <w:p w14:paraId="4D327BCA" w14:textId="77777777" w:rsidR="00A57B35" w:rsidRPr="00A57B35" w:rsidRDefault="00A57B35" w:rsidP="001C6667">
      <w:pPr>
        <w:jc w:val="both"/>
      </w:pPr>
      <w:r w:rsidRPr="00A57B35">
        <w:t>- Francesco                               AMIRANTE                             "</w:t>
      </w:r>
    </w:p>
    <w:p w14:paraId="24C3CA7A" w14:textId="77777777" w:rsidR="00A57B35" w:rsidRPr="00A57B35" w:rsidRDefault="00A57B35" w:rsidP="001C6667">
      <w:pPr>
        <w:jc w:val="both"/>
      </w:pPr>
      <w:r w:rsidRPr="00A57B35">
        <w:t>- Ugo                                        DE SIERVO                             "</w:t>
      </w:r>
    </w:p>
    <w:p w14:paraId="063B78D9" w14:textId="77777777" w:rsidR="00A57B35" w:rsidRPr="00A57B35" w:rsidRDefault="00A57B35" w:rsidP="001C6667">
      <w:pPr>
        <w:jc w:val="both"/>
      </w:pPr>
      <w:r w:rsidRPr="00A57B35">
        <w:t>- Romano                                  VACCARELLA                      "</w:t>
      </w:r>
    </w:p>
    <w:p w14:paraId="3297DE19" w14:textId="77777777" w:rsidR="00A57B35" w:rsidRPr="00A57B35" w:rsidRDefault="00A57B35" w:rsidP="001C6667">
      <w:pPr>
        <w:jc w:val="both"/>
      </w:pPr>
      <w:r w:rsidRPr="00A57B35">
        <w:t>- Paolo                                      MADDALENA                        "</w:t>
      </w:r>
    </w:p>
    <w:p w14:paraId="07302094" w14:textId="77777777" w:rsidR="00A57B35" w:rsidRPr="00A57B35" w:rsidRDefault="00A57B35" w:rsidP="001C6667">
      <w:pPr>
        <w:jc w:val="both"/>
      </w:pPr>
      <w:r w:rsidRPr="00A57B35">
        <w:t>- Alfio                                       FINOCCHIARO                      "</w:t>
      </w:r>
    </w:p>
    <w:p w14:paraId="5C5E89C8" w14:textId="77777777" w:rsidR="00A57B35" w:rsidRPr="00A57B35" w:rsidRDefault="00A57B35" w:rsidP="001C6667">
      <w:pPr>
        <w:jc w:val="both"/>
      </w:pPr>
      <w:r w:rsidRPr="00A57B35">
        <w:t>- Alfonso                                  QUARANTA                           "</w:t>
      </w:r>
    </w:p>
    <w:p w14:paraId="31D8AA74" w14:textId="77777777" w:rsidR="00A57B35" w:rsidRPr="00A57B35" w:rsidRDefault="00A57B35" w:rsidP="001C6667">
      <w:pPr>
        <w:jc w:val="both"/>
      </w:pPr>
      <w:r w:rsidRPr="00A57B35">
        <w:t>- Franco                                    GALLO                                    "</w:t>
      </w:r>
    </w:p>
    <w:p w14:paraId="600FF416" w14:textId="77777777" w:rsidR="00A57B35" w:rsidRPr="00A57B35" w:rsidRDefault="00A57B35" w:rsidP="001C6667">
      <w:pPr>
        <w:jc w:val="both"/>
      </w:pPr>
      <w:r w:rsidRPr="00A57B35">
        <w:t>ha pronunciato la seguente</w:t>
      </w:r>
    </w:p>
    <w:p w14:paraId="5F13E8ED" w14:textId="77777777" w:rsidR="00A57B35" w:rsidRPr="00A57B35" w:rsidRDefault="00A57B35" w:rsidP="001C6667">
      <w:pPr>
        <w:jc w:val="both"/>
      </w:pPr>
      <w:r w:rsidRPr="00A57B35">
        <w:t>SENTENZA</w:t>
      </w:r>
    </w:p>
    <w:p w14:paraId="6D84F775" w14:textId="77777777" w:rsidR="00A57B35" w:rsidRPr="00A57B35" w:rsidRDefault="00A57B35" w:rsidP="001C6667">
      <w:pPr>
        <w:jc w:val="both"/>
      </w:pPr>
      <w:r w:rsidRPr="00A57B35">
        <w:rPr>
          <w:i/>
          <w:iCs/>
        </w:rPr>
        <w:t>Considerato in diritto</w:t>
      </w:r>
    </w:p>
    <w:p w14:paraId="21163878" w14:textId="77777777" w:rsidR="00A57B35" w:rsidRPr="00A57B35" w:rsidRDefault="00A57B35" w:rsidP="001C6667">
      <w:pPr>
        <w:jc w:val="both"/>
      </w:pPr>
      <w:r w:rsidRPr="00A57B35">
        <w:t>1. — Il Governo ha sollevato questione di legittimità costituzionale degli articoli 3, comma 6; 4, comma 1, lettere h), l), m), n), o), p); 32, comma 2; 54, commi 1 e 3; 63, comma 2; 64, comma 2;  70, comma 1; 75, comma 4, dello statuto della Regione Toscana, approvato in prima deliberazione il 6 maggio 2004 e, in seconda deliberazione, il 19 luglio 2004, in riferimento agli articoli 2, 3, 5, 24, 29, 48, 97, 113, 114, 117, secondo comma, lettere e), f), i), l), p), s), terzo, quinto e sesto comma, 118, 121, 122, 123, 138 della Costituzione.</w:t>
      </w:r>
    </w:p>
    <w:p w14:paraId="6C811BE6" w14:textId="77777777" w:rsidR="00A57B35" w:rsidRPr="00A57B35" w:rsidRDefault="00A57B35" w:rsidP="001C6667">
      <w:pPr>
        <w:jc w:val="both"/>
      </w:pPr>
      <w:r w:rsidRPr="00A57B35">
        <w:t xml:space="preserve">L’art. 3, comma 6, stabilisce che «la Regione promuove, nel rispetto dei principi costituzionali, l’estensione del diritto di voto agli immigrati» e, ad avviso del ricorrente, violerebbe: l’art. 48 della Costituzione, che riserva ai cittadini l’elettorato attivo; l’art. 138 della Costituzione, in quanto il potere di revisione costituzionale è riservato al Parlamento nazionale; l’art. 117, secondo comma, lettere f) e </w:t>
      </w:r>
      <w:r w:rsidRPr="00A57B35">
        <w:lastRenderedPageBreak/>
        <w:t>p), della Costituzione, spettando allo Stato la competenza legislativa esclusiva nella materia elettorale concernente gli organi statali e gli enti locali, nonché l’art. 121, secondo comma, della Costituzione, poiché limiterebbe il potere di iniziativa legislativa del Consiglio regionale.</w:t>
      </w:r>
    </w:p>
    <w:p w14:paraId="30182B42" w14:textId="77777777" w:rsidR="00A57B35" w:rsidRPr="00A57B35" w:rsidRDefault="00A57B35" w:rsidP="001C6667">
      <w:pPr>
        <w:jc w:val="both"/>
      </w:pPr>
      <w:r w:rsidRPr="00A57B35">
        <w:t>Secondo la difesa erariale, l’art. 4, comma 1, lettera h), disponendo che la Regione persegue, tra le finalità prioritarie, «il riconoscimento delle altre forme di convivenza», potrebbe costituire la base statutaria di future norme regionali recanti una disciplina dei rapporti fra conviventi lesiva della competenza legislativa esclusiva dello Stato in materia di «cittadinanza, stato civile e anagrafi» e di «ordinamento civile» (art. 117, secondo comma, lettere i) e l), della Costituzione). La norma si porrebbe, inoltre, in contrasto con l’art. 123, primo comma, della Costituzione, sia perché avrebbe un contenuto estraneo ed eccedente rispetto a quello configurabile come contenuto necessario dello statuto, sia perché potrebbe esprimere «qualcosa di diverso dal semplice rilievo sociale e dalla conseguente giuridica dignità», nei limiti previsti da leggi dello Stato, della convivenza tra uomo e donna fuori del vincolo matrimoniale, in riferimento a situazioni divergenti dal modello del rapporto coniugale, estranee al contenuto delle garanzie fissate dall’art. 29 Costituzione, e non riconducibili alla sfera di protezione dell’art. 2 della Costituzione. La disposizione violerebbe, infine, il principio fondamentale di unità ed il principio di eguaglianza (artt. 3 e 5 della Costituzione), dato che permetterebbe alla comunità regionale di riconoscersi in valori diversi e contrastanti rispetto a quelli di altre comunità regionali.</w:t>
      </w:r>
    </w:p>
    <w:p w14:paraId="2A40619D" w14:textId="77777777" w:rsidR="00A57B35" w:rsidRPr="00A57B35" w:rsidRDefault="00A57B35" w:rsidP="001C6667">
      <w:pPr>
        <w:jc w:val="both"/>
      </w:pPr>
      <w:r w:rsidRPr="00A57B35">
        <w:t>L’art. 4, comma 1, lettere l) e m), nello stabilire che la Regione persegue, tra le finalità prioritarie, «il rispetto dell’equilibrio ecologico, la tutela dell’ambiente e del patrimonio culturale, la conservazione della biodiversità, la promozione della cultura del rispetto degli animali» (lettera l), nonché «la tutela e la valorizzazione del patrimonio storico, artistico e paesaggistico» (lettera m), violerebbe l’art. 117, secondo comma, lettera s), della Costituzione, che riserva allo Stato la competenza legislativa esclusiva nelle succitate materie. La lettera m) recherebbe, inoltre, vulnus anche all’art. 118, comma terzo, della Costituzione, essendo riservata alla legge statale la disciplina di forme di intesa e di coordinamento nella materia della tutela dei beni culturali.</w:t>
      </w:r>
    </w:p>
    <w:p w14:paraId="02ED8753" w14:textId="77777777" w:rsidR="00A57B35" w:rsidRPr="00A57B35" w:rsidRDefault="00A57B35" w:rsidP="001C6667">
      <w:pPr>
        <w:jc w:val="both"/>
      </w:pPr>
      <w:r w:rsidRPr="00A57B35">
        <w:t>L’art. 4, comma 1, lettere n), o) e p), prevede quali finalità prioritarie della Regione Toscana: «la promozione dello sviluppo economico e di un contesto favorevole alla competitività delle imprese, basato sull’innovazione, la ricerca e la formazione, nel rispetto dei principi di coesione sociale e di sostenibilità dell’ambiente» (lettera n); «la valorizzazione della libertà di iniziativa economica pubblica e privata, del ruolo e della responsabilità sociale delle imprese» (lettera o); «la promozione della cooperazione come strumento di democrazia economica e di sviluppo sociale, favorendone il potenziamento con i mezzi più idonei» (lettera p). Queste norme, secondo il ricorrente, potrebbero costituire la base statutaria di future leggi regionali in contrasto con la competenza legislativa esclusiva dello Stato nella materia della «tutela della concorrenza» (art.117, secondo comma, lettera e), della Costituzione) e lesive, in riferimento al settore della cooperazione, della competenza legislativa esclusiva dello Stato in materia di «ordinamento civile» (art.117, secondo comma, lettera l), della Costituzione).</w:t>
      </w:r>
    </w:p>
    <w:p w14:paraId="6D6D32F9" w14:textId="77777777" w:rsidR="00A57B35" w:rsidRPr="00A57B35" w:rsidRDefault="00A57B35" w:rsidP="001C6667">
      <w:pPr>
        <w:jc w:val="both"/>
      </w:pPr>
      <w:r w:rsidRPr="00A57B35">
        <w:t>L’art. 32, comma 2, dispone che «il programma di governo è approvato entro dieci giorni dalla sua illustrazione» e, perciò, ad avviso del Governo, in contrasto con gli artt. 122, quinto comma, e 3 della Costituzione, instaurerebbe «irragionevolmente e contraddittoriamente» tra Presidente e Consiglio regionale un rapporto diverso rispetto a quello conseguente all’elezione a suffragio universale e diretto.</w:t>
      </w:r>
    </w:p>
    <w:p w14:paraId="114960AA" w14:textId="77777777" w:rsidR="00A57B35" w:rsidRPr="00A57B35" w:rsidRDefault="00A57B35" w:rsidP="001C6667">
      <w:pPr>
        <w:jc w:val="both"/>
      </w:pPr>
      <w:r w:rsidRPr="00A57B35">
        <w:t xml:space="preserve">L’art. 54, commi 1 e 3, è impugnato nelle parti in cui disciplina il diritto di accesso senza obbligo di motivazione ai documenti amministrativi (comma 1) ed esclude l’obbligo della motivazione per gli atti amministrativi «meramente esecutivi», in riferimento ai principi costituzionali di efficienza e trasparenza (art. 97 della Costituzione), nonché al principio di effettività della tutela contro gli atti </w:t>
      </w:r>
      <w:r w:rsidRPr="00A57B35">
        <w:lastRenderedPageBreak/>
        <w:t>dell’amministrazione (artt. 24 e 113 della Costituzione) ed al principio di eguaglianza tra cittadini residenti in diverse regioni (art. 3 della Costituzione).</w:t>
      </w:r>
    </w:p>
    <w:p w14:paraId="470E1B05" w14:textId="77777777" w:rsidR="00A57B35" w:rsidRPr="00A57B35" w:rsidRDefault="00A57B35" w:rsidP="001C6667">
      <w:pPr>
        <w:jc w:val="both"/>
      </w:pPr>
      <w:r w:rsidRPr="00A57B35">
        <w:t>Il ricorrente censura l’art. 63, comma 2, nelle parti in cui, prevedendo che, qualora ricorrano specifiche esigenze unitarie, l’organizzazione delle funzioni amministrative conferite agli enti locali possa essere disciplinata con legge regionale, per assicurare requisiti essenziali di uniformità, violerebbe la riserva di potestà regolamentare attribuita agli enti locali (art. 117, sesto comma, della Costituzione), espropriandoli del potere di regolamentare l’organizzazione e lo svolgimento delle funzioni ad essi attribuite, in violazione degli artt. 118 e 114 della Costituzione.</w:t>
      </w:r>
    </w:p>
    <w:p w14:paraId="032F70AD" w14:textId="77777777" w:rsidR="00A57B35" w:rsidRPr="00A57B35" w:rsidRDefault="00A57B35" w:rsidP="001C6667">
      <w:pPr>
        <w:jc w:val="both"/>
      </w:pPr>
      <w:r w:rsidRPr="00A57B35">
        <w:t>L’art. 64, comma 2, disponendo che «la legge disciplina, limitatamente ai profili coperti da riserva di legge, i tributi propri degli enti locali, salva la potestà degli enti di istituirli» si porrebbe in contrasto con l’art. 119 della Costituzione, stabilendo un rapporto tra fonti normative «che è invece solo uno di quelli possibili, costituzionalmente rimessi alle valutazioni ed alle scelte del legislatore nazionale nel momento in cui darà attuazione all’art.119 Cost.».</w:t>
      </w:r>
    </w:p>
    <w:p w14:paraId="4E0258DD" w14:textId="77777777" w:rsidR="00A57B35" w:rsidRPr="00A57B35" w:rsidRDefault="00A57B35" w:rsidP="001C6667">
      <w:pPr>
        <w:jc w:val="both"/>
      </w:pPr>
      <w:r w:rsidRPr="00A57B35">
        <w:t>L’art. 70, comma 1, dispone che «gli organi di governo e il consiglio partecipano, nei modi previsti dalla legge, alle decisioni dirette alla formazione e attuazione degli atti comunitari nelle materie di competenza regionale» e perciò, secondo la difesa erariale, violerebbe l’art. 117, quinto comma, della Costituzione, che riserva alla legge statale la disciplina della partecipazione delle Regioni alla formazione ed attuazione degli atti comunitari.</w:t>
      </w:r>
    </w:p>
    <w:p w14:paraId="4B180315" w14:textId="77777777" w:rsidR="00A57B35" w:rsidRPr="00A57B35" w:rsidRDefault="00A57B35" w:rsidP="001C6667">
      <w:pPr>
        <w:jc w:val="both"/>
      </w:pPr>
      <w:r w:rsidRPr="00A57B35">
        <w:t>L’art. 75, nel disciplinare il referendum abrogativo, siccome stabilisce, al comma 4, che «la proposta di abrogazione soggetta a referendum è approvata se partecipa alla votazione la maggioranza dei votanti alle ultime elezioni regionali e se ottiene la maggioranza dei voti validamente espressi», ad avviso del ricorrente, lederebbe il principio di ragionevolezza, in quanto prevederebbe un quorum calcolato sulla scorta di un criterio casuale e contingente, irrazionale ed in contrasto anche con l’art. 75 della Costituzione.</w:t>
      </w:r>
    </w:p>
    <w:p w14:paraId="733B2394" w14:textId="77777777" w:rsidR="00A57B35" w:rsidRPr="00A57B35" w:rsidRDefault="00A57B35" w:rsidP="001C6667">
      <w:pPr>
        <w:jc w:val="both"/>
      </w:pPr>
      <w:r w:rsidRPr="00A57B35">
        <w:t>2. — Le censure formulate dal ricorrente nei confronti dello statuto della Regione Toscana si possono suddividere in due gruppi: quelle aventi ad oggetto proposizioni che rientrano tra i "Principi generali” e le "Finalità principali” e quelle che invece riguardano norme specifiche dello statuto.</w:t>
      </w:r>
    </w:p>
    <w:p w14:paraId="3ED0D4A2" w14:textId="77777777" w:rsidR="00A57B35" w:rsidRPr="00A57B35" w:rsidRDefault="00A57B35" w:rsidP="001C6667">
      <w:pPr>
        <w:jc w:val="both"/>
      </w:pPr>
      <w:r w:rsidRPr="00A57B35">
        <w:t>Ai fini delle questioni di legittimità costituzionale inerenti al primo gruppo di censure, appare necessario innanzi tutto precisare la natura e la portata di queste proposizioni. Al riguardo va ricordato che negli statuti regionali entrati in vigore nel 1971 -ivi compreso quello della Toscana- si rinvengono assai spesso indicazioni di obiettivi prioritari dell’attività regionale ed anche in quel tempo si posero problemi di costituzionalità di tali indicazioni, sotto il profilo della competenza della fonte statutaria ad incidere su materie anche eccedenti la sfera di attribuzione regionale. Al riguardo, dopo avere riconosciuto la possibilità di distinguere tra un contenuto "necessario” ed un contenuto "eventuale” dello statuto (cfr. </w:t>
      </w:r>
      <w:hyperlink r:id="rId4" w:history="1">
        <w:r w:rsidRPr="00A57B35">
          <w:rPr>
            <w:rStyle w:val="Collegamentoipertestuale"/>
          </w:rPr>
          <w:t>sentenza n. 40 del 1972</w:t>
        </w:r>
      </w:hyperlink>
      <w:r w:rsidRPr="00A57B35">
        <w:t xml:space="preserve">), si è ritenuto che la formulazione di proposizioni statutarie del tipo predetto avesse principalmente la funzione di legittimare la Regione come ente esponenziale della collettività regionale e del complesso dei relativi interessi ed aspettative. Tali interessi possono essere adeguatamente perseguiti non soltanto attraverso l’esercizio della competenza legislativa ed amministrativa, ma anche avvalendosi dei vari poteri, conferiti alla Regione stessa dalla Costituzione e da leggi statali, di iniziativa, di partecipazione, di consultazione, di proposta, e così via, esercitabili, in via formale </w:t>
      </w:r>
      <w:proofErr w:type="spellStart"/>
      <w:r w:rsidRPr="00A57B35">
        <w:t>ed</w:t>
      </w:r>
      <w:proofErr w:type="spellEnd"/>
      <w:r w:rsidRPr="00A57B35">
        <w:t xml:space="preserve"> informale, al fine di ottenere il migliore soddisfacimento delle esigenze della collettività stessa. In questo senso si è espressa questa Corte, affermando che l’adempimento di una serie di compiti fondamentali «legittima, dunque, una presenza politica della regione, in rapporto allo Stato o anche ad altre regioni, riguardo a tutte le questioni di interesse della comunità regionale, anche se queste sorgono in settori estranei alle singole materie indicate nell’art. 117 Cost. e si proiettano al di là dei confini territoriali della regione medesima» (</w:t>
      </w:r>
      <w:hyperlink r:id="rId5" w:history="1">
        <w:r w:rsidRPr="00A57B35">
          <w:rPr>
            <w:rStyle w:val="Collegamentoipertestuale"/>
          </w:rPr>
          <w:t>sentenza n. 829 del 1988</w:t>
        </w:r>
      </w:hyperlink>
      <w:r w:rsidRPr="00A57B35">
        <w:t>).</w:t>
      </w:r>
    </w:p>
    <w:p w14:paraId="6C7A2C08" w14:textId="77777777" w:rsidR="00A57B35" w:rsidRPr="00A57B35" w:rsidRDefault="00A57B35" w:rsidP="001C6667">
      <w:pPr>
        <w:jc w:val="both"/>
      </w:pPr>
      <w:r w:rsidRPr="00A57B35">
        <w:lastRenderedPageBreak/>
        <w:t>Il ruolo delle Regioni di rappresentanza generale degli interessi delle rispettive collettività, riconosciuto dalla giurisprudenza costituzionale e dalla prevalente dottrina -e, per quanto riguarda la Regione Toscana, dall’art. 1 dello statuto in esame- è dunque rilevante, anche nel momento presente, ai fini «dell’esistenza, accanto ai contenuti necessari degli statuti regionali, di altri possibili contenuti, sia che risultino ricognitivi delle funzioni e dei compiti della Regione, sia che indichino aree di prioritario intervento politico o legislativo» (</w:t>
      </w:r>
      <w:hyperlink r:id="rId6" w:history="1">
        <w:r w:rsidRPr="00A57B35">
          <w:rPr>
            <w:rStyle w:val="Collegamentoipertestuale"/>
          </w:rPr>
          <w:t>sentenza n. 2 del 2004</w:t>
        </w:r>
      </w:hyperlink>
      <w:r w:rsidRPr="00A57B35">
        <w:t>); contenuti che talora si esprimono attraverso proclamazioni di finalità da perseguire. Ma la citata sentenza ha rilevato come sia opinabile la "misura dell’efficacia giuridica” di tali proclamazioni; tale dubbio va sciolto considerando che alle enunciazioni in esame, anche se materialmente inserite in un atto-fonte, non può essere riconosciuta alcuna efficacia giuridica, collocandosi esse precipuamente sul piano dei convincimenti espressivi delle diverse sensibilità politiche presenti nella comunità regionale al momento dell’approvazione dello statuto, come, del resto, sostanzialmente riconosce la risoluzione n. 51 del Consiglio regionale della Toscana, deliberata contestualmente all’approvazione definitiva dello statuto.</w:t>
      </w:r>
    </w:p>
    <w:p w14:paraId="25F81F4D" w14:textId="77777777" w:rsidR="00A57B35" w:rsidRPr="00A57B35" w:rsidRDefault="00A57B35" w:rsidP="001C6667">
      <w:pPr>
        <w:jc w:val="both"/>
      </w:pPr>
      <w:r w:rsidRPr="00A57B35">
        <w:t>D’altra parte, tali proclamazioni di obiettivi e di impegni non possono certo essere assimilate alle c.d. norme programmatiche della Costituzione, alle quali, per il loro valore di principio, sono stati generalmente riconosciuti non solo un valore programmatico nei confronti della futura disciplina legislativa, ma soprattutto una funzione di integrazione e di interpretazione delle norme vigenti. Qui però non siamo in presenza di Carte costituzionali, ma solo di fonti regionali "a competenza riservata e specializzata”, cioè di statuti di autonomia, i quali, anche se costituzionalmente garantiti, debbono comunque "essere in armonia con i precetti ed i principi tutti ricavabili dalla Costituzione” (</w:t>
      </w:r>
      <w:hyperlink r:id="rId7" w:history="1">
        <w:r w:rsidRPr="00A57B35">
          <w:rPr>
            <w:rStyle w:val="Collegamentoipertestuale"/>
          </w:rPr>
          <w:t>sentenza n. 196 del 2003</w:t>
        </w:r>
      </w:hyperlink>
      <w:r w:rsidRPr="00A57B35">
        <w:t>).</w:t>
      </w:r>
    </w:p>
    <w:p w14:paraId="3AD59222" w14:textId="77777777" w:rsidR="00A57B35" w:rsidRPr="00A57B35" w:rsidRDefault="00A57B35" w:rsidP="001C6667">
      <w:pPr>
        <w:jc w:val="both"/>
      </w:pPr>
      <w:r w:rsidRPr="00A57B35">
        <w:t xml:space="preserve">Se dunque si accolgono le premesse già formulate sul carattere non prescrittivo e non vincolante delle enunciazioni statutarie di questo tipo, ne deriva che esse esplicano una funzione, per così dire, di natura culturale o anche politica, ma certo non normativa. Nel caso in esame, enunciazioni siffatte si rinvengono nei diversi commi –tra cui in particolare quelli censurati- degli artt. 3 e 4 che non comportano né alcuna violazione, né alcuna rivendicazione di competenze costituzionalmente attribuite allo Stato e neppure fondano esercizio di poteri regionali. </w:t>
      </w:r>
      <w:proofErr w:type="gramStart"/>
      <w:r w:rsidRPr="00A57B35">
        <w:t>E’</w:t>
      </w:r>
      <w:proofErr w:type="gramEnd"/>
      <w:r w:rsidRPr="00A57B35">
        <w:t xml:space="preserve"> quindi inammissibile il ricorso governativo avverso le impugnate proposizioni dei predetti articoli, per la loro carenza di idoneità lesiva.</w:t>
      </w:r>
    </w:p>
    <w:p w14:paraId="2E53EEEE" w14:textId="77777777" w:rsidR="00A57B35" w:rsidRPr="00A57B35" w:rsidRDefault="00A57B35" w:rsidP="001C6667">
      <w:pPr>
        <w:jc w:val="both"/>
      </w:pPr>
      <w:r w:rsidRPr="00A57B35">
        <w:t>Pertanto vanno dichiarate inammissibili le questioni di legittimità costituzionale delle seguenti disposizioni dello statuto della Regione Toscana: art. 3, comma 6, secondo il quale «la Regione promuove, nel rispetto dei principi costituzionali, l’estensione del diritto di voto agli immigrati»; art. 4 comma 1, lettera h), il quale dispone che la Regione persegue, tra le finalità prioritarie, «il riconoscimento delle altre forme di convivenza»; art. 4 comma 1, lettere l) e m), che, rispettivamente, stabiliscono quali finalità prioritarie della Regione «il rispetto dell’equilibrio ecologico, la tutela dell’ambiente e del patrimonio culturale, la conservazione della biodiversità, la promozione della cultura del rispetto degli animali», nonché «la tutela e la valorizzazione del patrimonio storico artistico e paesaggistico»; art. 4 comma 1, lettere n), o) e p), che stabiliscono, quali finalità prioritarie della Regione, «la promozione dello sviluppo economico e di un contesto favorevole alla competitività delle imprese, basato sull’innovazione, la ricerca e la formazione, nel rispetto dei principi di coesione sociale e di sostenibilità dell’ambiente», «la valorizzazione della libertà di iniziativa economica pubblica e privata, del ruolo e della responsabilità sociale delle imprese», «la promozione della cooperazione come strumento di democrazia economica e di sviluppo sociale, favorendone il potenziamento con i mezzi più idonei».</w:t>
      </w:r>
    </w:p>
    <w:p w14:paraId="6501EC5D" w14:textId="77777777" w:rsidR="00A57B35" w:rsidRPr="00A57B35" w:rsidRDefault="00A57B35" w:rsidP="001C6667">
      <w:pPr>
        <w:jc w:val="both"/>
      </w:pPr>
      <w:r w:rsidRPr="00A57B35">
        <w:t xml:space="preserve">3. — Tutto ciò premesso, in punto di merito occorre esaminare per prima la censura relativa all’art. 32, comma 2 dello statuto, nella parte in cui stabilisce che "il programma di governo è approvato entro 10 giorni dalla sua illustrazione”, in quanto, secondo il ricorrente, la predetta approvazione instaurerebbe irragionevolmente, in violazione degli artt. 3 e 122, quinto comma, della Costituzione, tra Presidente e </w:t>
      </w:r>
      <w:r w:rsidRPr="00A57B35">
        <w:lastRenderedPageBreak/>
        <w:t>Consiglio regionale un rapporto diverso rispetto a quello che dovrebbe conseguire all’elezione a suffragio universale e diretto.</w:t>
      </w:r>
    </w:p>
    <w:p w14:paraId="15D585B4" w14:textId="77777777" w:rsidR="00A57B35" w:rsidRPr="00A57B35" w:rsidRDefault="00A57B35" w:rsidP="001C6667">
      <w:pPr>
        <w:jc w:val="both"/>
      </w:pPr>
      <w:r w:rsidRPr="00A57B35">
        <w:t>La questione non è fondata.</w:t>
      </w:r>
    </w:p>
    <w:p w14:paraId="3B76FCAB" w14:textId="77777777" w:rsidR="00A57B35" w:rsidRPr="00A57B35" w:rsidRDefault="00A57B35" w:rsidP="001C6667">
      <w:pPr>
        <w:jc w:val="both"/>
      </w:pPr>
      <w:r w:rsidRPr="00A57B35">
        <w:t>La formazione della Giunta regionale toscana si svolge secondo il seguente schema procedimentale: 1) il presidente della giunta entra direttamente in carica all’atto della proclamazione; 2) l’illustrazione del programma e la designazione dei componenti della giunta avvengono nella prima seduta del consiglio; 3) l’approvazione del programma avviene entro 10 giorni dalla sua illustrazione, </w:t>
      </w:r>
      <w:proofErr w:type="gramStart"/>
      <w:r w:rsidRPr="00A57B35">
        <w:t>ma  il</w:t>
      </w:r>
      <w:proofErr w:type="gramEnd"/>
      <w:r w:rsidRPr="00A57B35">
        <w:t> presidente nomina "comunque”, decorso lo stesso termine, i componenti la giunta.</w:t>
      </w:r>
    </w:p>
    <w:p w14:paraId="5EC80163" w14:textId="77777777" w:rsidR="00A57B35" w:rsidRPr="00A57B35" w:rsidRDefault="00A57B35" w:rsidP="001C6667">
      <w:pPr>
        <w:jc w:val="both"/>
      </w:pPr>
      <w:r w:rsidRPr="00A57B35">
        <w:t>In questo quadro, la previsione dell’approvazione consiliare del programma di governo non appare affatto incoerente rispetto allo schema elettorale "normale” accolto dall’art. 122, quinto comma, della Costituzione, giacché la eventuale mancata approvazione consiliare può avere solo rilievo politico, ma non determina alcun effetto giuridicamente rilevante sulla permanenza in carica del Presidente, della giunta, ovvero sulla composizione di questa ultima. Non si può peraltro escludere che a questa situazione possano seguire, ai sensi dell’art. 33 dello statuto, la approvazione di una mozione di sfiducia o anche le dimissioni spontanee del presidente, ma in entrambe le ipotesi si verifica lo scioglimento anticipato del consiglio, nel pieno rispetto del vincolo costituzionale del </w:t>
      </w:r>
      <w:proofErr w:type="spellStart"/>
      <w:r w:rsidRPr="00A57B35">
        <w:rPr>
          <w:i/>
          <w:iCs/>
        </w:rPr>
        <w:t>simul</w:t>
      </w:r>
      <w:proofErr w:type="spellEnd"/>
      <w:r w:rsidRPr="00A57B35">
        <w:rPr>
          <w:i/>
          <w:iCs/>
        </w:rPr>
        <w:t> </w:t>
      </w:r>
      <w:proofErr w:type="spellStart"/>
      <w:r w:rsidRPr="00A57B35">
        <w:rPr>
          <w:i/>
          <w:iCs/>
        </w:rPr>
        <w:t>stabunt</w:t>
      </w:r>
      <w:proofErr w:type="spellEnd"/>
      <w:r w:rsidRPr="00A57B35">
        <w:rPr>
          <w:i/>
          <w:iCs/>
        </w:rPr>
        <w:t> </w:t>
      </w:r>
      <w:proofErr w:type="spellStart"/>
      <w:r w:rsidRPr="00A57B35">
        <w:rPr>
          <w:i/>
          <w:iCs/>
        </w:rPr>
        <w:t>simul</w:t>
      </w:r>
      <w:proofErr w:type="spellEnd"/>
      <w:r w:rsidRPr="00A57B35">
        <w:rPr>
          <w:i/>
          <w:iCs/>
        </w:rPr>
        <w:t> </w:t>
      </w:r>
      <w:proofErr w:type="spellStart"/>
      <w:r w:rsidRPr="00A57B35">
        <w:rPr>
          <w:i/>
          <w:iCs/>
        </w:rPr>
        <w:t>cadent</w:t>
      </w:r>
      <w:proofErr w:type="spellEnd"/>
      <w:r w:rsidRPr="00A57B35">
        <w:t> (cfr. sentenze </w:t>
      </w:r>
      <w:hyperlink r:id="rId8" w:history="1">
        <w:r w:rsidRPr="00A57B35">
          <w:rPr>
            <w:rStyle w:val="Collegamentoipertestuale"/>
          </w:rPr>
          <w:t>n. 304 del 2002</w:t>
        </w:r>
      </w:hyperlink>
      <w:r w:rsidRPr="00A57B35">
        <w:t> e </w:t>
      </w:r>
      <w:hyperlink r:id="rId9" w:history="1">
        <w:r w:rsidRPr="00A57B35">
          <w:rPr>
            <w:rStyle w:val="Collegamentoipertestuale"/>
          </w:rPr>
          <w:t>n. 2 del 2004</w:t>
        </w:r>
      </w:hyperlink>
      <w:r w:rsidRPr="00A57B35">
        <w:t>), il quale, oltre ad essere un profilo caratterizzante questo assetto di governo, è indice della maggiore forza politica del Presidente, conseguente alla sua elezione a suffragio universale e diretto. Sotto questo profilo quindi la norma denunciata non introduce alcuna significativa variazione rispetto alla forma di governo "normale” prefigurata in Costituzione.</w:t>
      </w:r>
    </w:p>
    <w:p w14:paraId="39EA27EE" w14:textId="77777777" w:rsidR="00A57B35" w:rsidRPr="00A57B35" w:rsidRDefault="00A57B35" w:rsidP="001C6667">
      <w:pPr>
        <w:jc w:val="both"/>
      </w:pPr>
      <w:r w:rsidRPr="00A57B35">
        <w:t>4. — Una seconda censura ha ad oggetto l’art. 54, commi 1 e 3, dello statuto nelle parti in cui rispettivamente prevedono il diritto di accesso ai documenti amministrativi regionali senza obbligo di motivazione ed escludono l’obbligo di motivazione degli atti amministrativi "meramente esecutivi”. Secondo il ricorrente, infatti, tali norme violerebbero i principi di buon andamento dell’Amministrazione, di tutela giurisdizionale dei diritti e degli interessi legittimi, oltre che di eguaglianza.</w:t>
      </w:r>
    </w:p>
    <w:p w14:paraId="670A9DB1" w14:textId="77777777" w:rsidR="00A57B35" w:rsidRPr="00A57B35" w:rsidRDefault="00A57B35" w:rsidP="001C6667">
      <w:pPr>
        <w:jc w:val="both"/>
      </w:pPr>
      <w:r w:rsidRPr="00A57B35">
        <w:t>Le questioni non sono fondate.</w:t>
      </w:r>
    </w:p>
    <w:p w14:paraId="1D506D0A" w14:textId="77777777" w:rsidR="00A57B35" w:rsidRPr="00A57B35" w:rsidRDefault="00A57B35" w:rsidP="001C6667">
      <w:pPr>
        <w:jc w:val="both"/>
      </w:pPr>
      <w:r w:rsidRPr="00A57B35">
        <w:t xml:space="preserve">La disposizione che stabilisce il diritto di accesso, senza obbligo di motivazione, ai documenti amministrativi si conforma al principio costituzionale di imparzialità e di trasparenza dell’azione amministrativa ed è altresì del tutto coerente con l’evoluzione del diritto comunitario. </w:t>
      </w:r>
      <w:proofErr w:type="gramStart"/>
      <w:r w:rsidRPr="00A57B35">
        <w:t>Inoltre</w:t>
      </w:r>
      <w:proofErr w:type="gramEnd"/>
      <w:r w:rsidRPr="00A57B35">
        <w:t xml:space="preserve"> va considerato che la norma in esame, in quanto attinente ai principi fondamentali di organizzazione e di funzionamento della Regione, rientra strettamente tra gli oggetti di disciplina statutaria e che anche nella legislazione statale, ad esempio in materia di tutela ambientale, sono previste ipotesi di accesso ai documenti amministrativi senza obbligo di motivazione.</w:t>
      </w:r>
    </w:p>
    <w:p w14:paraId="3173D507" w14:textId="77777777" w:rsidR="00A57B35" w:rsidRPr="00A57B35" w:rsidRDefault="00A57B35" w:rsidP="001C6667">
      <w:pPr>
        <w:jc w:val="both"/>
      </w:pPr>
      <w:r w:rsidRPr="00A57B35">
        <w:t>In ogni caso va sottolineato che il comma 1 della disposizione in esame, contenendo un esplicito riferimento al rispetto degli interessi costituzionalmente tutelati ed a modi di disciplina previsti dalla legge, deve essere interpretato nel senso che la </w:t>
      </w:r>
      <w:proofErr w:type="spellStart"/>
      <w:r w:rsidRPr="00A57B35">
        <w:t>emananda</w:t>
      </w:r>
      <w:proofErr w:type="spellEnd"/>
      <w:r w:rsidRPr="00A57B35">
        <w:t> legge di attuazione dovrà farsi carico di prefigurare un procedimento che, nell’assicurare la trasparenza e l’imparzialità dell’azione amministrativa, preveda, oltre ad ipotesi di esclusione dell’</w:t>
      </w:r>
      <w:proofErr w:type="spellStart"/>
      <w:r w:rsidRPr="00A57B35">
        <w:t>ostensibilità</w:t>
      </w:r>
      <w:proofErr w:type="spellEnd"/>
      <w:r w:rsidRPr="00A57B35">
        <w:t> di documenti amministrativi per ragioni di tutela di situazioni costituzionalmente garantite, anche criteri e modi in base ai quali l’interesse personale e concreto del richiedente si contempera con l’interesse pubblico al buon andamento dell’Amministrazione, nonché con l’esigenza di non vanificare in concreto la tutela giurisdizionale delle posizioni di eventuali soggetti terzi interessati.</w:t>
      </w:r>
    </w:p>
    <w:p w14:paraId="43C03074" w14:textId="77777777" w:rsidR="00A57B35" w:rsidRPr="00A57B35" w:rsidRDefault="00A57B35" w:rsidP="001C6667">
      <w:pPr>
        <w:jc w:val="both"/>
      </w:pPr>
      <w:r w:rsidRPr="00A57B35">
        <w:lastRenderedPageBreak/>
        <w:t>Parimenti infondata è la questione di costituzionalità del terzo comma dello stesso articolo, giacché negli atti amministrativi che non abbiano natura provvedimentale in quanto "meramente esecutivi”, ai fini della motivazione è ritenuto sufficiente dalla prevalente giurisprudenza il semplice richiamo, nelle premesse dell’atto, ai presupposti di fatto ed alle disposizioni di legge da applicare, la cui enunciazione rende pienamente comprensibili le ragioni dell’atto stesso.</w:t>
      </w:r>
    </w:p>
    <w:p w14:paraId="3F0FB3D9" w14:textId="77777777" w:rsidR="00A57B35" w:rsidRPr="00A57B35" w:rsidRDefault="00A57B35" w:rsidP="001C6667">
      <w:pPr>
        <w:jc w:val="both"/>
      </w:pPr>
      <w:r w:rsidRPr="00A57B35">
        <w:t xml:space="preserve">5. — Un’altra censura riguarda l’art. 63, comma 2, dello statuto, nella parte in cui prevede che l’organizzazione delle funzioni amministrative conferite agli enti locali, nei casi in cui risultino specifiche esigenze unitarie, possa essere disciplinata con legge regionale per assicurare requisiti essenziali di uniformità. La </w:t>
      </w:r>
      <w:proofErr w:type="gramStart"/>
      <w:r w:rsidRPr="00A57B35">
        <w:t>predetta</w:t>
      </w:r>
      <w:proofErr w:type="gramEnd"/>
      <w:r w:rsidRPr="00A57B35">
        <w:t xml:space="preserve"> norma, secondo il ricorrente, lederebbe la riserva di potestà regolamentare attribuita dall’art. 117, sesto comma, della Costituzione agli enti locali, "espropriandoli”, in violazione anche degli artt. 118 e 114 della Costituzione e del principio di leale collaborazione, del potere di regolamentare organizzazione e svolgimento delle funzioni loro conferite dalla legge regionale.</w:t>
      </w:r>
    </w:p>
    <w:p w14:paraId="58736046" w14:textId="77777777" w:rsidR="00A57B35" w:rsidRPr="00A57B35" w:rsidRDefault="00A57B35" w:rsidP="001C6667">
      <w:pPr>
        <w:jc w:val="both"/>
      </w:pPr>
      <w:r w:rsidRPr="00A57B35">
        <w:t>La questione non è fondata.</w:t>
      </w:r>
    </w:p>
    <w:p w14:paraId="5D415277" w14:textId="77777777" w:rsidR="00A57B35" w:rsidRPr="00A57B35" w:rsidRDefault="00A57B35" w:rsidP="001C6667">
      <w:pPr>
        <w:jc w:val="both"/>
      </w:pPr>
      <w:r w:rsidRPr="00A57B35">
        <w:t xml:space="preserve">L’art. 63, comma 2, in esame, che conferisce alla legge regionale la facoltà di disciplinare organizzazione e svolgimento delle funzioni degli enti locali nei "casi in cui risultino specifiche esigenze unitarie”, fa evidente riferimento alle varie ipotesi di applicazione del principio di sussidiarietà previste dalla Costituzione. Si </w:t>
      </w:r>
      <w:proofErr w:type="gramStart"/>
      <w:r w:rsidRPr="00A57B35">
        <w:t>tratta</w:t>
      </w:r>
      <w:proofErr w:type="gramEnd"/>
      <w:r w:rsidRPr="00A57B35">
        <w:t xml:space="preserve"> cioè di una deroga rispetto al criterio generale accolto dal comma 1 dello stesso articolo, il quale riserva alla potestà regolamentare degli enti locali la disciplina dell’organizzazione e dello svolgimento delle funzioni conferite. Ma tale deroga si inserisce nell’ambito della previsione del sesto comma dell’art. 117, come attuato dall’art. 4, comma 4, della legge n. 131 del 2003, secondo cui la potestà regolamentare dell’ente locale in materia di organizzazione e svolgimento delle funzioni si esplica nell’ambito delle leggi statali e regionali, che ne assicurano i requisiti minimi di uniformità.</w:t>
      </w:r>
    </w:p>
    <w:p w14:paraId="2E0594CB" w14:textId="77777777" w:rsidR="00A57B35" w:rsidRPr="00A57B35" w:rsidRDefault="00A57B35" w:rsidP="001C6667">
      <w:pPr>
        <w:jc w:val="both"/>
      </w:pPr>
      <w:r w:rsidRPr="00A57B35">
        <w:t>La previsione statutaria di un regime di riserva assoluta di legge regionale anziché relativa è infatti ammissibile purché sia limitata, per non comprimere eccessivamente l’autonomia degli enti locali, ai soli casi di sussistenza di "specifiche esigenze unitarie”, che possano giustificare, nel rispetto dei principi indicati dall’art. 118, primo comma, della Costituzione, la disciplina legislativa regionale dell’organizzazione e svolgimento delle funzioni "conferite”. Negando tale facoltà si perverrebbe, infatti, all’assurda conclusione che, al fine di evitare la compromissione di precisi interessi unitari che postulano il compimento di determinate attività in modo sostanzialmente uniforme, il legislatore regionale non avrebbe altra scelta che allocare le funzioni in questione ad un livello di governo più comprensivo, assicurandone così l’esercizio unitario. Il che sarebbe chiaramente sproporzionato rispetto al fine da raggiungere e contrastante con lo stesso principio di sussidiarietà (cfr. sentenze </w:t>
      </w:r>
      <w:proofErr w:type="spellStart"/>
      <w:r w:rsidRPr="00A57B35">
        <w:t>nn</w:t>
      </w:r>
      <w:proofErr w:type="spellEnd"/>
      <w:r w:rsidRPr="00A57B35">
        <w:t>. </w:t>
      </w:r>
      <w:hyperlink r:id="rId10" w:history="1">
        <w:r w:rsidRPr="00A57B35">
          <w:rPr>
            <w:rStyle w:val="Collegamentoipertestuale"/>
          </w:rPr>
          <w:t>43</w:t>
        </w:r>
      </w:hyperlink>
      <w:r w:rsidRPr="00A57B35">
        <w:t>, </w:t>
      </w:r>
      <w:hyperlink r:id="rId11" w:history="1">
        <w:r w:rsidRPr="00A57B35">
          <w:rPr>
            <w:rStyle w:val="Collegamentoipertestuale"/>
          </w:rPr>
          <w:t>69</w:t>
        </w:r>
      </w:hyperlink>
      <w:r w:rsidRPr="00A57B35">
        <w:t>, </w:t>
      </w:r>
      <w:hyperlink r:id="rId12" w:history="1">
        <w:r w:rsidRPr="00A57B35">
          <w:rPr>
            <w:rStyle w:val="Collegamentoipertestuale"/>
          </w:rPr>
          <w:t>112</w:t>
        </w:r>
      </w:hyperlink>
      <w:r w:rsidRPr="00A57B35">
        <w:t> e </w:t>
      </w:r>
      <w:hyperlink r:id="rId13" w:history="1">
        <w:r w:rsidRPr="00A57B35">
          <w:rPr>
            <w:rStyle w:val="Collegamentoipertestuale"/>
          </w:rPr>
          <w:t>172 del 2004</w:t>
        </w:r>
      </w:hyperlink>
      <w:r w:rsidRPr="00A57B35">
        <w:t>).</w:t>
      </w:r>
    </w:p>
    <w:p w14:paraId="272A095D" w14:textId="77777777" w:rsidR="00A57B35" w:rsidRPr="00A57B35" w:rsidRDefault="00A57B35" w:rsidP="001C6667">
      <w:pPr>
        <w:jc w:val="both"/>
      </w:pPr>
      <w:r w:rsidRPr="00A57B35">
        <w:t>Dovendosi in tal modo interpretare la norma denunciata, la questione è infondata.</w:t>
      </w:r>
    </w:p>
    <w:p w14:paraId="12B5F18E" w14:textId="77777777" w:rsidR="00A57B35" w:rsidRPr="00A57B35" w:rsidRDefault="00A57B35" w:rsidP="001C6667">
      <w:pPr>
        <w:jc w:val="both"/>
      </w:pPr>
      <w:r w:rsidRPr="00A57B35">
        <w:t>6. — Un’ulteriore censura concerne l’art. 64, comma 2, dello statuto, nella parte in cui prevede che "la legge disciplina, limitatamente ai profili coperti da riserva di legge, i tributi propri degli enti locali, salva la potestà degli enti di istituirli”. Secondo il ricorrente la norma violerebbe l’art. 119 della Costituzione, in quanto prevederebbe in materia un rapporto tra fonti normative "che è invece solo uno di quelli possibili, costituzionalmente rimessi alle valutazioni ed alle scelte del legislatore nazionale nel momento in cui darà attuazione all’art. 119 della Costituzione”.</w:t>
      </w:r>
    </w:p>
    <w:p w14:paraId="690093F9" w14:textId="77777777" w:rsidR="00A57B35" w:rsidRPr="00A57B35" w:rsidRDefault="00A57B35" w:rsidP="001C6667">
      <w:pPr>
        <w:jc w:val="both"/>
      </w:pPr>
      <w:r w:rsidRPr="00A57B35">
        <w:t>La questione non è fondata.</w:t>
      </w:r>
    </w:p>
    <w:p w14:paraId="5639AAEC" w14:textId="77777777" w:rsidR="00A57B35" w:rsidRPr="00A57B35" w:rsidRDefault="00A57B35" w:rsidP="001C6667">
      <w:pPr>
        <w:jc w:val="both"/>
      </w:pPr>
      <w:r w:rsidRPr="00A57B35">
        <w:t xml:space="preserve">La norma statutaria in esame riguarda il complesso tema dell’autonomia tributaria degli enti locali nel quadro della nuova disciplina prevista dall’art. 119 della Costituzione, in relazione alla quale pare </w:t>
      </w:r>
      <w:r w:rsidRPr="00A57B35">
        <w:lastRenderedPageBreak/>
        <w:t>opportuno riferirsi alla sentenza di questa Corte </w:t>
      </w:r>
      <w:hyperlink r:id="rId14" w:history="1">
        <w:r w:rsidRPr="00A57B35">
          <w:rPr>
            <w:rStyle w:val="Collegamentoipertestuale"/>
          </w:rPr>
          <w:t>n. 37 del 2004</w:t>
        </w:r>
      </w:hyperlink>
      <w:r w:rsidRPr="00A57B35">
        <w:t>. Secondo questa decisione, in considerazione della riserva di legge prevista dall’art. 23 della Costituzione, che comporta la necessità di disciplinare a livello legislativo almeno gli aspetti fondamentali dell’imposizione, ed in considerazione anche del fatto che gli enti locali sub-regionali non sono titolari di potestà legislativa, deve essere definito, da un lato, l’ambito di esplicazione della potestà regolamentare di questi enti e, dall’altro lato, il rapporto tra legislazione statale e legislazione regionale per quanto attiene alla disciplina di grado primario dei tributi locali. Al riguardo, sempre secondo la citata sentenza, si possono «in astratto concepire situazioni di disciplina normativa sia a tre livelli (legislativa statale, legislativa regionale e regolamentare locale), sia a due soli livelli (statale e locale, ovvero regionale e locale)».</w:t>
      </w:r>
    </w:p>
    <w:p w14:paraId="7D5EF60C" w14:textId="77777777" w:rsidR="00A57B35" w:rsidRPr="00A57B35" w:rsidRDefault="00A57B35" w:rsidP="001C6667">
      <w:pPr>
        <w:jc w:val="both"/>
      </w:pPr>
      <w:r w:rsidRPr="00A57B35">
        <w:t>Il modello seguito dalla disposizione citata è evidentemente quello a "due livelli”, cioè una disciplina normativa dei tributi propri degli enti locali risultante dal concorso di fonti primarie regionali e secondarie locali. Un ragionevole criterio di riparto tra questi due tipi di fonti deve attribuire alla fonte regionale la definizione dell’ambito di autonomia entro cui la fonte secondaria dell’ente sub-regionale può esercitare liberamente il proprio potere di autodeterminazione del tributo. In ogni caso, la norma censurata deve essere interpretata nel senso che, in base all’art. 119, secondo comma, della Costituzione, la legge regionale ivi prevista deve comunque attenersi ai principi fondamentali di coordinamento del sistema tributario appositamente dettati dalla legislazione statale "quadro” o, in caso di inerzia del legislatore statale, a quelli comunque desumibili dall’ordinamento. Proprio in questo senso, del resto, si </w:t>
      </w:r>
      <w:proofErr w:type="spellStart"/>
      <w:r w:rsidRPr="00A57B35">
        <w:t>é</w:t>
      </w:r>
      <w:proofErr w:type="spellEnd"/>
      <w:r w:rsidRPr="00A57B35">
        <w:t> espressa questa Corte nella citata </w:t>
      </w:r>
      <w:hyperlink r:id="rId15" w:history="1">
        <w:r w:rsidRPr="00A57B35">
          <w:rPr>
            <w:rStyle w:val="Collegamentoipertestuale"/>
          </w:rPr>
          <w:t>sentenza n. 37 del 2004</w:t>
        </w:r>
      </w:hyperlink>
      <w:r w:rsidRPr="00A57B35">
        <w:t>, sostenendo che il legislatore statale «dovrà non solo fissare i principi cui i legislatori regionali dovranno attenersi, ma anche (…) definire gli spazi ed i limiti entro i quali potrà esplicarsi la potestà impositiva, rispettivamente, di Stato, Regioni ed enti locali».</w:t>
      </w:r>
    </w:p>
    <w:p w14:paraId="3F123427" w14:textId="77777777" w:rsidR="00A57B35" w:rsidRPr="00A57B35" w:rsidRDefault="00A57B35" w:rsidP="001C6667">
      <w:pPr>
        <w:jc w:val="both"/>
      </w:pPr>
      <w:r w:rsidRPr="00A57B35">
        <w:t>Così interpretata la disposizione denunciata non risulta sussistente il prospettato vizio di legittimità costituzionale.</w:t>
      </w:r>
    </w:p>
    <w:p w14:paraId="38679782" w14:textId="77777777" w:rsidR="00A57B35" w:rsidRPr="00A57B35" w:rsidRDefault="00A57B35" w:rsidP="001C6667">
      <w:pPr>
        <w:jc w:val="both"/>
      </w:pPr>
      <w:r w:rsidRPr="00A57B35">
        <w:t>7. — Un’altra censura ha ad oggetto l’art. 70, comma 1, dello statuto, nella parte in cui prevede che gli organi di governo ed il Consiglio regionale partecipano, nei modi previsti dalla legge, alla formazione ed attuazione degli atti comunitari nelle materie di competenza regionale. Secondo il ricorrente la disposizione violerebbe l’art. 117, quinto comma, della Costituzione, che attribuisce alla legge statale le forme di partecipazione regionale alla formazione ed attuazione degli atti comunitari.</w:t>
      </w:r>
    </w:p>
    <w:p w14:paraId="792C19CF" w14:textId="77777777" w:rsidR="00A57B35" w:rsidRPr="00A57B35" w:rsidRDefault="00A57B35" w:rsidP="001C6667">
      <w:pPr>
        <w:jc w:val="both"/>
      </w:pPr>
      <w:r w:rsidRPr="00A57B35">
        <w:t>La questione non è fondata.</w:t>
      </w:r>
    </w:p>
    <w:p w14:paraId="2BE71442" w14:textId="77777777" w:rsidR="00A57B35" w:rsidRPr="00A57B35" w:rsidRDefault="00A57B35" w:rsidP="001C6667">
      <w:pPr>
        <w:jc w:val="both"/>
      </w:pPr>
      <w:r w:rsidRPr="00A57B35">
        <w:t>Nel quadro delle norme di procedura che la legge statale, di cui all’art. 117, quinto comma, della Costituzione, determina in via generale ai fini della partecipazione delle Regioni alla formazione ed attuazione degli atti comunitari, la disposizione statutaria impugnata prevede la possibilità che la legge regionale stabilisca, a sua volta, uno specifico procedimento interno diretto a fissare le modalità attraverso le quali si forma la relativa decisione regionale, nell’ambito dei criteri organizzativi stabiliti, in sede attuativa, dall’art. 5 della citata legge n. 131 del 2003. In proposito può essere in qualche modo indicativa la regolamentazione in materia già prevista dalla Regione Toscana con la legge 16 maggio 1994, n. 37 (Disposizioni sulla partecipazione della Regione Toscana al processo normativo comunitario e sulle procedure relative all’attuazione degli obblighi comunitari), la quale stabilisce al riguardo le diverse competenze del Consiglio e della Giunta regionale.</w:t>
      </w:r>
    </w:p>
    <w:p w14:paraId="5B00FDC5" w14:textId="77777777" w:rsidR="00A57B35" w:rsidRPr="00A57B35" w:rsidRDefault="00A57B35" w:rsidP="001C6667">
      <w:pPr>
        <w:jc w:val="both"/>
      </w:pPr>
      <w:r w:rsidRPr="00A57B35">
        <w:t>Sotto i profili prospettati, pertanto, la disposizione statutaria in esame non appare in contrasto con l’art. 117, quinto comma, della Costituzione.</w:t>
      </w:r>
    </w:p>
    <w:p w14:paraId="50144795" w14:textId="77777777" w:rsidR="00A57B35" w:rsidRPr="00A57B35" w:rsidRDefault="00A57B35" w:rsidP="001C6667">
      <w:pPr>
        <w:jc w:val="both"/>
      </w:pPr>
      <w:r w:rsidRPr="00A57B35">
        <w:t xml:space="preserve">8. — L’ultima questione di legittimità costituzionale sollevata dal Governo riguarda l’art. 75, comma 4, dello statuto, nella parte in cui, ai fini dell’abrogazione referendaria di una legge o di un regolamento regionale, è richiesto che partecipi alla votazione la maggioranza dei votanti alle ultime elezioni </w:t>
      </w:r>
      <w:r w:rsidRPr="00A57B35">
        <w:lastRenderedPageBreak/>
        <w:t>regionali. Tale norma sarebbe costituzionalmente illegittima in quanto contrasterebbe con il principio di ragionevolezza, facendo riferimento ad un criterio casuale e contingente, oltre che irrazionale, nonché con l’art. 75 della Costituzione.</w:t>
      </w:r>
    </w:p>
    <w:p w14:paraId="350AF0E0" w14:textId="77777777" w:rsidR="00A57B35" w:rsidRPr="00A57B35" w:rsidRDefault="00A57B35" w:rsidP="001C6667">
      <w:pPr>
        <w:jc w:val="both"/>
      </w:pPr>
      <w:r w:rsidRPr="00A57B35">
        <w:t>La questione non è fondata.</w:t>
      </w:r>
    </w:p>
    <w:p w14:paraId="7FC7A1BB" w14:textId="77777777" w:rsidR="00A57B35" w:rsidRPr="00A57B35" w:rsidRDefault="00A57B35" w:rsidP="001C6667">
      <w:pPr>
        <w:jc w:val="both"/>
      </w:pPr>
      <w:proofErr w:type="gramStart"/>
      <w:r w:rsidRPr="00A57B35">
        <w:t>In primo luogo</w:t>
      </w:r>
      <w:proofErr w:type="gramEnd"/>
      <w:r w:rsidRPr="00A57B35">
        <w:t xml:space="preserve"> va rilevato che non si può considerare principio vincolante per lo statuto la determinazione del quorum strutturale prevista dall’art. 75 della Costituzione. La materia referendaria rientra espressamente, ai sensi dell’art. 123 della Costituzione, tra i contenuti obbligatori dello statuto, cosicché si deve ritenere che alle Regioni è consentito di articolare variamente la propria disciplina relativa alla tipologia dei referendum previsti in Costituzione, anche innovando ad essi sotto diversi profili, proprio perché ogni Regione può liberamente prescegliere forme, modi e criteri della partecipazione popolare ai processi di controllo democratico sugli atti regionali.</w:t>
      </w:r>
    </w:p>
    <w:p w14:paraId="28947367" w14:textId="77777777" w:rsidR="00A57B35" w:rsidRPr="00A57B35" w:rsidRDefault="00A57B35" w:rsidP="001C6667">
      <w:pPr>
        <w:jc w:val="both"/>
      </w:pPr>
      <w:r w:rsidRPr="00A57B35">
        <w:t>Va infine osservato che non appare irragionevole, in un quadro di rilevante astensionismo elettorale, stabilire un quorum strutturale non rigido, ma flessibile, che si adegui ai vari flussi elettorali, avendo come parametro la partecipazione del corpo elettorale alle ultime votazioni del Consiglio regionale, i cui atti appunto costituiscono oggetto della consultazione referendaria.</w:t>
      </w:r>
    </w:p>
    <w:p w14:paraId="621C029E" w14:textId="77777777" w:rsidR="00A57B35" w:rsidRPr="00A57B35" w:rsidRDefault="00A57B35" w:rsidP="001C6667">
      <w:pPr>
        <w:jc w:val="both"/>
      </w:pPr>
      <w:r w:rsidRPr="00A57B35">
        <w:t>PER QUESTI MOTIVI</w:t>
      </w:r>
    </w:p>
    <w:p w14:paraId="679D5D2F" w14:textId="77777777" w:rsidR="00A57B35" w:rsidRPr="00A57B35" w:rsidRDefault="00A57B35" w:rsidP="001C6667">
      <w:pPr>
        <w:jc w:val="both"/>
      </w:pPr>
      <w:r w:rsidRPr="00A57B35">
        <w:t>LA CORTE COSTITUZIONALE</w:t>
      </w:r>
    </w:p>
    <w:p w14:paraId="1B0CC299" w14:textId="77777777" w:rsidR="00A57B35" w:rsidRPr="00A57B35" w:rsidRDefault="00A57B35" w:rsidP="001C6667">
      <w:pPr>
        <w:jc w:val="both"/>
      </w:pPr>
      <w:r w:rsidRPr="00A57B35">
        <w:t>dichiara inammissibili le questioni di legittimità costituzionale dell’articolo 3, comma 6, dello statuto della Regione Toscana, approvato in prima deliberazione il 6 maggio 2004 e, in seconda deliberazione, il 19 luglio 2004, in riferimento agli articoli 48, 117, secondo comma, lettere f) e p), 121, secondo comma, e 138 della Costituzione; dell’articolo 4, comma 1, lettera h), del predetto statuto, in riferimento agli articoli 2, 3, 5, 29, 117, secondo comma, lettere i) e l), 123, primo comma, della Costituzione; dell’articolo 4, comma 1, lettera l), del predetto statuto, in riferimento all’articolo 117, secondo comma, lettera s), della Costituzione; dell’articolo 4, comma 1, lettera m), del predetto statuto, in riferimento agli articoli 117, secondo comma, lettera s), e 118, terzo comma, della Costituzione; dell’articolo 4, comma 1, lettere n), o) e p), del predetto statuto, in riferimento all’art 117, secondo comma, lettere e) e l), della Costituzione, sollevate dal Presidente del Consiglio dei ministri, con il ricorso indicato in epigrafe;</w:t>
      </w:r>
    </w:p>
    <w:p w14:paraId="539217FC" w14:textId="77777777" w:rsidR="00A57B35" w:rsidRPr="00A57B35" w:rsidRDefault="00A57B35" w:rsidP="001C6667">
      <w:pPr>
        <w:jc w:val="both"/>
      </w:pPr>
      <w:r w:rsidRPr="00A57B35">
        <w:t>dichiara non fondate le questioni di legittimità costituzionale dell’articolo 32, comma 2, del predetto statuto, in riferimento agli articoli 3 e 122, quinto comma, della Costituzione; dell’articolo 54, commi 1 e 3, del predetto statuto, in riferimento agli articoli 3, 24, 97 e 113 della Costituzione; dell’articolo 63, comma 2, del predetto statuto, in riferimento agli articoli 114, 117, sesto comma, e 118 della Costituzione; dell’articolo 64, comma 2, del predetto statuto, in riferimento all’articolo 119 della Costituzione; dell’articolo 70, comma 1, del predetto statuto, in riferimento all’articolo 117, quinto comma, della Costituzione; dell’articolo 75, comma 4, del predetto statuto, in riferimento agli articoli 3 e 75 della Costituzione, sollevate dal Presidente del Consiglio dei ministri, con il ricorso indicato in epigrafe.</w:t>
      </w:r>
    </w:p>
    <w:p w14:paraId="26AF056D" w14:textId="77777777" w:rsidR="00A57B35" w:rsidRPr="00A57B35" w:rsidRDefault="00A57B35" w:rsidP="001C6667">
      <w:pPr>
        <w:jc w:val="both"/>
      </w:pPr>
      <w:r w:rsidRPr="00A57B35">
        <w:t>Così deciso in Roma, nella sede della Corte costituzionale, Palazzo della Consulta, il 29 novembre 2004.</w:t>
      </w:r>
    </w:p>
    <w:p w14:paraId="236FE923" w14:textId="77777777" w:rsidR="00A57B35" w:rsidRPr="00A57B35" w:rsidRDefault="00A57B35" w:rsidP="001C6667">
      <w:pPr>
        <w:jc w:val="both"/>
      </w:pPr>
      <w:r w:rsidRPr="00A57B35">
        <w:t>Valerio ONIDA, Presidente</w:t>
      </w:r>
    </w:p>
    <w:p w14:paraId="174FA295" w14:textId="77777777" w:rsidR="00A57B35" w:rsidRPr="00A57B35" w:rsidRDefault="00A57B35" w:rsidP="001C6667">
      <w:pPr>
        <w:jc w:val="both"/>
      </w:pPr>
      <w:r w:rsidRPr="00A57B35">
        <w:t>Giuseppe DI PAOLA, Cancelliere</w:t>
      </w:r>
    </w:p>
    <w:p w14:paraId="651CF0D0" w14:textId="77777777" w:rsidR="00A57B35" w:rsidRPr="00A57B35" w:rsidRDefault="00A57B35" w:rsidP="001C6667">
      <w:pPr>
        <w:jc w:val="both"/>
      </w:pPr>
      <w:r w:rsidRPr="00A57B35">
        <w:t>Depositata in Cancelleria il 2 dicembre 2004.</w:t>
      </w:r>
    </w:p>
    <w:p w14:paraId="224F4EBB" w14:textId="77777777" w:rsidR="00A57B35" w:rsidRPr="00A57B35" w:rsidRDefault="00A57B35" w:rsidP="001C6667">
      <w:pPr>
        <w:jc w:val="both"/>
      </w:pPr>
      <w:r w:rsidRPr="00A57B35">
        <w:lastRenderedPageBreak/>
        <w:t> </w:t>
      </w:r>
    </w:p>
    <w:p w14:paraId="4D3F000D" w14:textId="77777777" w:rsidR="00B50B1F" w:rsidRDefault="00B50B1F" w:rsidP="001C6667">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4C60"/>
    <w:rsid w:val="000A07B9"/>
    <w:rsid w:val="001C6667"/>
    <w:rsid w:val="00872025"/>
    <w:rsid w:val="00A57B35"/>
    <w:rsid w:val="00B50B1F"/>
    <w:rsid w:val="00F14C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DE6128"/>
  <w15:chartTrackingRefBased/>
  <w15:docId w15:val="{84273567-2292-4261-950D-874E58F7E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14C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14C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14C6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14C6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14C6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14C6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14C6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14C6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14C6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14C6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14C6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14C6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14C6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14C6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14C6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14C6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14C6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14C60"/>
    <w:rPr>
      <w:rFonts w:eastAsiaTheme="majorEastAsia" w:cstheme="majorBidi"/>
      <w:color w:val="272727" w:themeColor="text1" w:themeTint="D8"/>
    </w:rPr>
  </w:style>
  <w:style w:type="paragraph" w:styleId="Titolo">
    <w:name w:val="Title"/>
    <w:basedOn w:val="Normale"/>
    <w:next w:val="Normale"/>
    <w:link w:val="TitoloCarattere"/>
    <w:uiPriority w:val="10"/>
    <w:qFormat/>
    <w:rsid w:val="00F14C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14C6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14C6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14C6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14C6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14C60"/>
    <w:rPr>
      <w:i/>
      <w:iCs/>
      <w:color w:val="404040" w:themeColor="text1" w:themeTint="BF"/>
    </w:rPr>
  </w:style>
  <w:style w:type="paragraph" w:styleId="Paragrafoelenco">
    <w:name w:val="List Paragraph"/>
    <w:basedOn w:val="Normale"/>
    <w:uiPriority w:val="34"/>
    <w:qFormat/>
    <w:rsid w:val="00F14C60"/>
    <w:pPr>
      <w:ind w:left="720"/>
      <w:contextualSpacing/>
    </w:pPr>
  </w:style>
  <w:style w:type="character" w:styleId="Enfasiintensa">
    <w:name w:val="Intense Emphasis"/>
    <w:basedOn w:val="Carpredefinitoparagrafo"/>
    <w:uiPriority w:val="21"/>
    <w:qFormat/>
    <w:rsid w:val="00F14C60"/>
    <w:rPr>
      <w:i/>
      <w:iCs/>
      <w:color w:val="0F4761" w:themeColor="accent1" w:themeShade="BF"/>
    </w:rPr>
  </w:style>
  <w:style w:type="paragraph" w:styleId="Citazioneintensa">
    <w:name w:val="Intense Quote"/>
    <w:basedOn w:val="Normale"/>
    <w:next w:val="Normale"/>
    <w:link w:val="CitazioneintensaCarattere"/>
    <w:uiPriority w:val="30"/>
    <w:qFormat/>
    <w:rsid w:val="00F14C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14C60"/>
    <w:rPr>
      <w:i/>
      <w:iCs/>
      <w:color w:val="0F4761" w:themeColor="accent1" w:themeShade="BF"/>
    </w:rPr>
  </w:style>
  <w:style w:type="character" w:styleId="Riferimentointenso">
    <w:name w:val="Intense Reference"/>
    <w:basedOn w:val="Carpredefinitoparagrafo"/>
    <w:uiPriority w:val="32"/>
    <w:qFormat/>
    <w:rsid w:val="00F14C60"/>
    <w:rPr>
      <w:b/>
      <w:bCs/>
      <w:smallCaps/>
      <w:color w:val="0F4761" w:themeColor="accent1" w:themeShade="BF"/>
      <w:spacing w:val="5"/>
    </w:rPr>
  </w:style>
  <w:style w:type="character" w:styleId="Collegamentoipertestuale">
    <w:name w:val="Hyperlink"/>
    <w:basedOn w:val="Carpredefinitoparagrafo"/>
    <w:uiPriority w:val="99"/>
    <w:unhideWhenUsed/>
    <w:rsid w:val="00A57B35"/>
    <w:rPr>
      <w:color w:val="467886" w:themeColor="hyperlink"/>
      <w:u w:val="single"/>
    </w:rPr>
  </w:style>
  <w:style w:type="character" w:styleId="Menzionenonrisolta">
    <w:name w:val="Unresolved Mention"/>
    <w:basedOn w:val="Carpredefinitoparagrafo"/>
    <w:uiPriority w:val="99"/>
    <w:semiHidden/>
    <w:unhideWhenUsed/>
    <w:rsid w:val="00A57B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7925629">
      <w:bodyDiv w:val="1"/>
      <w:marLeft w:val="0"/>
      <w:marRight w:val="0"/>
      <w:marTop w:val="0"/>
      <w:marBottom w:val="0"/>
      <w:divBdr>
        <w:top w:val="none" w:sz="0" w:space="0" w:color="auto"/>
        <w:left w:val="none" w:sz="0" w:space="0" w:color="auto"/>
        <w:bottom w:val="none" w:sz="0" w:space="0" w:color="auto"/>
        <w:right w:val="none" w:sz="0" w:space="0" w:color="auto"/>
      </w:divBdr>
    </w:div>
    <w:div w:id="2029673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urcost.org/decisioni/2002/0304s-02.html" TargetMode="External"/><Relationship Id="rId13" Type="http://schemas.openxmlformats.org/officeDocument/2006/relationships/hyperlink" Target="https://giurcost.org/decisioni/2004/0172s-04.html" TargetMode="External"/><Relationship Id="rId3" Type="http://schemas.openxmlformats.org/officeDocument/2006/relationships/webSettings" Target="webSettings.xml"/><Relationship Id="rId7" Type="http://schemas.openxmlformats.org/officeDocument/2006/relationships/hyperlink" Target="https://giurcost.org/decisioni/2003/0196s-03.html" TargetMode="External"/><Relationship Id="rId12" Type="http://schemas.openxmlformats.org/officeDocument/2006/relationships/hyperlink" Target="https://giurcost.org/decisioni/2004/0112s-04.html"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giurcost.org/decisioni/2004/0002s-04.html" TargetMode="External"/><Relationship Id="rId11" Type="http://schemas.openxmlformats.org/officeDocument/2006/relationships/hyperlink" Target="https://giurcost.org/decisioni/2004/0069s-04.html" TargetMode="External"/><Relationship Id="rId5" Type="http://schemas.openxmlformats.org/officeDocument/2006/relationships/hyperlink" Target="https://giurcost.org/decisioni/1988/0829s-88.html" TargetMode="External"/><Relationship Id="rId15" Type="http://schemas.openxmlformats.org/officeDocument/2006/relationships/hyperlink" Target="https://giurcost.org/decisioni/2004/0037s-04.html" TargetMode="External"/><Relationship Id="rId10" Type="http://schemas.openxmlformats.org/officeDocument/2006/relationships/hyperlink" Target="https://giurcost.org/decisioni/2004/0043s-04.html" TargetMode="External"/><Relationship Id="rId4" Type="http://schemas.openxmlformats.org/officeDocument/2006/relationships/hyperlink" Target="https://giurcost.org/decisioni/1972/0040s-72.html" TargetMode="External"/><Relationship Id="rId9" Type="http://schemas.openxmlformats.org/officeDocument/2006/relationships/hyperlink" Target="https://giurcost.org/decisioni/2004/0002s-04.html" TargetMode="External"/><Relationship Id="rId14" Type="http://schemas.openxmlformats.org/officeDocument/2006/relationships/hyperlink" Target="https://giurcost.org/decisioni/2004/0037s-04.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4853</Words>
  <Characters>27664</Characters>
  <Application>Microsoft Office Word</Application>
  <DocSecurity>0</DocSecurity>
  <Lines>230</Lines>
  <Paragraphs>64</Paragraphs>
  <ScaleCrop>false</ScaleCrop>
  <Company/>
  <LinksUpToDate>false</LinksUpToDate>
  <CharactersWithSpaces>32453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3</cp:revision>
  <dcterms:created xsi:type="dcterms:W3CDTF">2025-10-22T14:29:00Z</dcterms:created>
  <dcterms:modified xsi:type="dcterms:W3CDTF">2025-10-22T14:30:00Z</dcterms:modified>
</cp:coreProperties>
</file>