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8A304A" w14:textId="77777777" w:rsidR="00D4451C" w:rsidRDefault="00D4451C" w:rsidP="00D4451C"/>
    <w:p w14:paraId="2D08ACD1" w14:textId="33B958A3" w:rsidR="00D4451C" w:rsidRPr="00D4451C" w:rsidRDefault="00D4451C" w:rsidP="00D4451C">
      <w:r w:rsidRPr="00D4451C">
        <w:t>SENTENZA N. 378</w:t>
      </w:r>
    </w:p>
    <w:p w14:paraId="40DA8B24" w14:textId="77777777" w:rsidR="00D4451C" w:rsidRPr="00D4451C" w:rsidRDefault="00D4451C" w:rsidP="00D4451C">
      <w:r w:rsidRPr="00D4451C">
        <w:t>ANNO 2004</w:t>
      </w:r>
    </w:p>
    <w:p w14:paraId="1B18CD48" w14:textId="77777777" w:rsidR="00D4451C" w:rsidRPr="00D4451C" w:rsidRDefault="00D4451C" w:rsidP="00D4451C">
      <w:r w:rsidRPr="00D4451C">
        <w:t> </w:t>
      </w:r>
    </w:p>
    <w:p w14:paraId="3FA3F486" w14:textId="77777777" w:rsidR="00D4451C" w:rsidRPr="00D4451C" w:rsidRDefault="00D4451C" w:rsidP="00D4451C">
      <w:r w:rsidRPr="00D4451C">
        <w:t> </w:t>
      </w:r>
    </w:p>
    <w:p w14:paraId="0FE88D34" w14:textId="77777777" w:rsidR="00D4451C" w:rsidRPr="00D4451C" w:rsidRDefault="00D4451C" w:rsidP="00D4451C">
      <w:r w:rsidRPr="00D4451C">
        <w:t>REPUBBLICA ITALIANA</w:t>
      </w:r>
    </w:p>
    <w:p w14:paraId="677DB32B" w14:textId="77777777" w:rsidR="00D4451C" w:rsidRPr="00D4451C" w:rsidRDefault="00D4451C" w:rsidP="00D4451C">
      <w:r w:rsidRPr="00D4451C">
        <w:t>IN NOME DEL POPOLO ITALIANO</w:t>
      </w:r>
    </w:p>
    <w:p w14:paraId="5C4F6A10" w14:textId="77777777" w:rsidR="00D4451C" w:rsidRPr="00D4451C" w:rsidRDefault="00D4451C" w:rsidP="00D4451C">
      <w:r w:rsidRPr="00D4451C">
        <w:t>LA CORTE COSTITUZIONALE</w:t>
      </w:r>
    </w:p>
    <w:p w14:paraId="6DA4C1CD" w14:textId="77777777" w:rsidR="00D4451C" w:rsidRPr="00D4451C" w:rsidRDefault="00D4451C" w:rsidP="00D4451C">
      <w:r w:rsidRPr="00D4451C">
        <w:t>composta dai signori:</w:t>
      </w:r>
    </w:p>
    <w:p w14:paraId="64ABB514" w14:textId="77777777" w:rsidR="00D4451C" w:rsidRPr="00D4451C" w:rsidRDefault="00D4451C" w:rsidP="00D4451C">
      <w:r w:rsidRPr="00D4451C">
        <w:t>- Valerio            ONIDA                      Presidente</w:t>
      </w:r>
    </w:p>
    <w:p w14:paraId="2A4EB7C7" w14:textId="77777777" w:rsidR="00D4451C" w:rsidRPr="00D4451C" w:rsidRDefault="00D4451C" w:rsidP="00D4451C">
      <w:r w:rsidRPr="00D4451C">
        <w:t>- Carlo               MEZZANOTTE        Giudice</w:t>
      </w:r>
    </w:p>
    <w:p w14:paraId="28ED1C45" w14:textId="77777777" w:rsidR="00D4451C" w:rsidRPr="00D4451C" w:rsidRDefault="00D4451C" w:rsidP="00D4451C">
      <w:r w:rsidRPr="00D4451C">
        <w:t>- Guido             NEPPI MODONA           "</w:t>
      </w:r>
    </w:p>
    <w:p w14:paraId="2B6247C7" w14:textId="77777777" w:rsidR="00D4451C" w:rsidRPr="00D4451C" w:rsidRDefault="00D4451C" w:rsidP="00D4451C">
      <w:r w:rsidRPr="00D4451C">
        <w:t xml:space="preserve">- Piero </w:t>
      </w:r>
      <w:proofErr w:type="gramStart"/>
      <w:r w:rsidRPr="00D4451C">
        <w:t>Alberto  CAPOTOSTI</w:t>
      </w:r>
      <w:proofErr w:type="gramEnd"/>
      <w:r w:rsidRPr="00D4451C">
        <w:t>                    "</w:t>
      </w:r>
    </w:p>
    <w:p w14:paraId="7468666C" w14:textId="77777777" w:rsidR="00D4451C" w:rsidRPr="00D4451C" w:rsidRDefault="00D4451C" w:rsidP="00D4451C">
      <w:r w:rsidRPr="00D4451C">
        <w:t>- Annibale         MARINI                          "</w:t>
      </w:r>
    </w:p>
    <w:p w14:paraId="642E21DC" w14:textId="77777777" w:rsidR="00D4451C" w:rsidRPr="00D4451C" w:rsidRDefault="00D4451C" w:rsidP="00D4451C">
      <w:r w:rsidRPr="00D4451C">
        <w:t>- Franco BILE                                 "</w:t>
      </w:r>
    </w:p>
    <w:p w14:paraId="58D5F306" w14:textId="77777777" w:rsidR="00D4451C" w:rsidRPr="00D4451C" w:rsidRDefault="00D4451C" w:rsidP="00D4451C">
      <w:r w:rsidRPr="00D4451C">
        <w:t>- Giovanni Maria FLICK                            "</w:t>
      </w:r>
    </w:p>
    <w:p w14:paraId="22D921EC" w14:textId="77777777" w:rsidR="00D4451C" w:rsidRPr="00D4451C" w:rsidRDefault="00D4451C" w:rsidP="00D4451C">
      <w:r w:rsidRPr="00D4451C">
        <w:t>- Francesco        AMIRANTE                    "</w:t>
      </w:r>
    </w:p>
    <w:p w14:paraId="7EF70E0F" w14:textId="77777777" w:rsidR="00D4451C" w:rsidRPr="00D4451C" w:rsidRDefault="00D4451C" w:rsidP="00D4451C">
      <w:r w:rsidRPr="00D4451C">
        <w:t>- Ugo                 DE SIERVO                     "</w:t>
      </w:r>
    </w:p>
    <w:p w14:paraId="66E33F8C" w14:textId="77777777" w:rsidR="00D4451C" w:rsidRPr="00D4451C" w:rsidRDefault="00D4451C" w:rsidP="00D4451C">
      <w:r w:rsidRPr="00D4451C">
        <w:t>- Romano          VACCARELLA               "</w:t>
      </w:r>
    </w:p>
    <w:p w14:paraId="3709BF7E" w14:textId="77777777" w:rsidR="00D4451C" w:rsidRPr="00D4451C" w:rsidRDefault="00D4451C" w:rsidP="00D4451C">
      <w:r w:rsidRPr="00D4451C">
        <w:t>- Paolo               MADDALENA                "</w:t>
      </w:r>
    </w:p>
    <w:p w14:paraId="0C041241" w14:textId="77777777" w:rsidR="00D4451C" w:rsidRPr="00D4451C" w:rsidRDefault="00D4451C" w:rsidP="00D4451C">
      <w:r w:rsidRPr="00D4451C">
        <w:t>- Alfio               FINOCCHIARO              "</w:t>
      </w:r>
    </w:p>
    <w:p w14:paraId="133CF40C" w14:textId="77777777" w:rsidR="00D4451C" w:rsidRPr="00D4451C" w:rsidRDefault="00D4451C" w:rsidP="00D4451C">
      <w:r w:rsidRPr="00D4451C">
        <w:t>- Alfonso           QUARANTA                   "</w:t>
      </w:r>
    </w:p>
    <w:p w14:paraId="246B3F30" w14:textId="77777777" w:rsidR="00D4451C" w:rsidRPr="00D4451C" w:rsidRDefault="00D4451C" w:rsidP="00D4451C">
      <w:r w:rsidRPr="00D4451C">
        <w:t>- Franco GALLO                            "</w:t>
      </w:r>
    </w:p>
    <w:p w14:paraId="4163CB36" w14:textId="77777777" w:rsidR="00D4451C" w:rsidRPr="00D4451C" w:rsidRDefault="00D4451C" w:rsidP="00D4451C">
      <w:r w:rsidRPr="00D4451C">
        <w:t>ha pronunciato la seguente</w:t>
      </w:r>
    </w:p>
    <w:p w14:paraId="2C77A7FE" w14:textId="77777777" w:rsidR="00D4451C" w:rsidRPr="00D4451C" w:rsidRDefault="00D4451C" w:rsidP="00D4451C">
      <w:r w:rsidRPr="00D4451C">
        <w:t> </w:t>
      </w:r>
    </w:p>
    <w:p w14:paraId="057478CB" w14:textId="77777777" w:rsidR="00D4451C" w:rsidRPr="00D4451C" w:rsidRDefault="00D4451C" w:rsidP="00775ABE">
      <w:pPr>
        <w:jc w:val="both"/>
      </w:pPr>
      <w:r w:rsidRPr="00D4451C">
        <w:t>SENTENZA</w:t>
      </w:r>
    </w:p>
    <w:p w14:paraId="604ABC17" w14:textId="77777777" w:rsidR="00D4451C" w:rsidRPr="00D4451C" w:rsidRDefault="00D4451C" w:rsidP="00775ABE">
      <w:pPr>
        <w:jc w:val="both"/>
        <w:rPr>
          <w:b/>
          <w:bCs/>
        </w:rPr>
      </w:pPr>
      <w:r w:rsidRPr="00D4451C">
        <w:rPr>
          <w:b/>
          <w:bCs/>
        </w:rPr>
        <w:t xml:space="preserve">nei giudizi di legittimità costituzionale degli articoli 9, comma 2; 39, comma 2; 40; 66, comma 1 e 2 e 82 della </w:t>
      </w:r>
      <w:r w:rsidRPr="00D4451C">
        <w:rPr>
          <w:b/>
          <w:bCs/>
          <w:color w:val="EE0000"/>
        </w:rPr>
        <w:t xml:space="preserve">deliberazione statutaria della Regione Umbria </w:t>
      </w:r>
      <w:r w:rsidRPr="00D4451C">
        <w:rPr>
          <w:b/>
          <w:bCs/>
        </w:rPr>
        <w:t>e dell’intera deliberazione statutaria approvata in prima deliberazione il 2 aprile 2004 ed in seconda deliberazione il 29 luglio 2004, e pubblicata nel B.U.R. n. 33 dell’11 agosto 2004, promossi con ricorsi del Presidente del Consiglio dei ministri e di Carlo Ripa di Meana, consigliere regionale di minoranza della Regione Umbria, notificati il 9 e l’11 settembre 2004, depositati in cancelleria il 15 e il 20 successivi ed iscritti ai </w:t>
      </w:r>
      <w:proofErr w:type="spellStart"/>
      <w:r w:rsidRPr="00D4451C">
        <w:rPr>
          <w:b/>
          <w:bCs/>
        </w:rPr>
        <w:t>nn</w:t>
      </w:r>
      <w:proofErr w:type="spellEnd"/>
      <w:r w:rsidRPr="00D4451C">
        <w:rPr>
          <w:b/>
          <w:bCs/>
        </w:rPr>
        <w:t>. 88 e 90 del registro ricorsi 2004.</w:t>
      </w:r>
    </w:p>
    <w:p w14:paraId="386BAAFC" w14:textId="29FBC3E6" w:rsidR="00D4451C" w:rsidRPr="00D4451C" w:rsidRDefault="00D4451C" w:rsidP="00775ABE">
      <w:pPr>
        <w:jc w:val="both"/>
      </w:pPr>
      <w:r w:rsidRPr="00D4451C">
        <w:t>  </w:t>
      </w:r>
    </w:p>
    <w:p w14:paraId="158B59FE" w14:textId="77777777" w:rsidR="00D4451C" w:rsidRPr="00D4451C" w:rsidRDefault="00D4451C" w:rsidP="002C5D95">
      <w:pPr>
        <w:jc w:val="both"/>
      </w:pPr>
      <w:r w:rsidRPr="00D4451C">
        <w:rPr>
          <w:i/>
          <w:iCs/>
        </w:rPr>
        <w:lastRenderedPageBreak/>
        <w:t>Considerato in diritto</w:t>
      </w:r>
    </w:p>
    <w:p w14:paraId="532170F4" w14:textId="77777777" w:rsidR="00D4451C" w:rsidRPr="00D4451C" w:rsidRDefault="00D4451C" w:rsidP="002C5D95">
      <w:pPr>
        <w:jc w:val="both"/>
        <w:rPr>
          <w:b/>
          <w:bCs/>
        </w:rPr>
      </w:pPr>
      <w:r w:rsidRPr="00D4451C">
        <w:rPr>
          <w:b/>
          <w:bCs/>
        </w:rPr>
        <w:t xml:space="preserve">L’art. 39, comma 2, il quale prevede che la Giunta regionale possa, previa autorizzazione da parte di apposita legge regionale, adottare </w:t>
      </w:r>
      <w:r w:rsidRPr="00D4451C">
        <w:rPr>
          <w:b/>
          <w:bCs/>
          <w:color w:val="EE0000"/>
        </w:rPr>
        <w:t>regolamenti di delegificazione</w:t>
      </w:r>
      <w:r w:rsidRPr="00D4451C">
        <w:rPr>
          <w:b/>
          <w:bCs/>
        </w:rPr>
        <w:t xml:space="preserve">, </w:t>
      </w:r>
      <w:r w:rsidRPr="00D4451C">
        <w:rPr>
          <w:b/>
          <w:bCs/>
          <w:u w:val="single"/>
        </w:rPr>
        <w:t xml:space="preserve">violerebbe l’articolo 121, secondo comma, della Costituzione ed il </w:t>
      </w:r>
      <w:r w:rsidRPr="00D4451C">
        <w:rPr>
          <w:b/>
          <w:bCs/>
          <w:color w:val="EE0000"/>
          <w:u w:val="single"/>
        </w:rPr>
        <w:t xml:space="preserve">principio di separazione dei poteri </w:t>
      </w:r>
      <w:r w:rsidRPr="00D4451C">
        <w:rPr>
          <w:b/>
          <w:bCs/>
          <w:u w:val="single"/>
        </w:rPr>
        <w:t>tra organo legislativo ed organo esecutivo della regione, che non consentirebbero l’adozione di regolamenti di delegificazione</w:t>
      </w:r>
      <w:r w:rsidRPr="00D4451C">
        <w:rPr>
          <w:b/>
          <w:bCs/>
        </w:rPr>
        <w:t>; sarebbe violato, inoltre, l’art. 117 della Costituzione, in quanto la fonte regolamentare sarebbe incongruente rispetto alle materie legislative di tipo concorrente, nelle quali i principî fondamentali fissati dal legislatore statale dovrebbero essere attuati in via legislativa.</w:t>
      </w:r>
    </w:p>
    <w:p w14:paraId="1CDA19D4" w14:textId="61C312EB" w:rsidR="00BF126E" w:rsidRDefault="00BF126E" w:rsidP="002C5D95">
      <w:pPr>
        <w:jc w:val="both"/>
        <w:rPr>
          <w:b/>
          <w:bCs/>
        </w:rPr>
      </w:pPr>
      <w:r>
        <w:rPr>
          <w:b/>
          <w:bCs/>
        </w:rPr>
        <w:t>[…]</w:t>
      </w:r>
    </w:p>
    <w:p w14:paraId="1192370E" w14:textId="75E63DB4" w:rsidR="00D4451C" w:rsidRPr="00D4451C" w:rsidRDefault="00D4451C" w:rsidP="002C5D95">
      <w:pPr>
        <w:jc w:val="both"/>
        <w:rPr>
          <w:b/>
          <w:bCs/>
        </w:rPr>
      </w:pPr>
      <w:r w:rsidRPr="00D4451C">
        <w:rPr>
          <w:b/>
          <w:bCs/>
        </w:rPr>
        <w:t>6. – Le censure di illegittimità costituzionale relative all’art. 39, comma 2, sono infondate.</w:t>
      </w:r>
    </w:p>
    <w:p w14:paraId="3156BD13" w14:textId="77777777" w:rsidR="00D4451C" w:rsidRPr="00D4451C" w:rsidRDefault="00D4451C" w:rsidP="002C5D95">
      <w:pPr>
        <w:jc w:val="both"/>
        <w:rPr>
          <w:b/>
          <w:bCs/>
        </w:rPr>
      </w:pPr>
      <w:r w:rsidRPr="00D4451C">
        <w:rPr>
          <w:b/>
          <w:bCs/>
        </w:rPr>
        <w:t xml:space="preserve">Le argomentazioni del ricorso, infatti, muovono da una errata lettura della disposizione, che non prevede affatto il "conferimento alla Giunta di una potestà legislativa”, come afferma l’Avvocatura, con la conseguente alterazione dei rapporti fra potere esecutivo e legislativo a livello regionale. La norma in oggetto, invece, si limita a riprodurre </w:t>
      </w:r>
      <w:r w:rsidRPr="00D4451C">
        <w:rPr>
          <w:b/>
          <w:bCs/>
          <w:u w:val="single"/>
        </w:rPr>
        <w:t>il modello vigente a livello statale dei cosiddetti regolamenti delegati</w:t>
      </w:r>
      <w:r w:rsidRPr="00D4451C">
        <w:rPr>
          <w:b/>
          <w:bCs/>
        </w:rPr>
        <w:t xml:space="preserve">, che è disciplinato dal comma 2 dell’art. 17 della legge 23 agosto 1988, n.400 (Disciplina dell’attività di governo e ordinamento della Presidenza del </w:t>
      </w:r>
      <w:proofErr w:type="gramStart"/>
      <w:r w:rsidRPr="00D4451C">
        <w:rPr>
          <w:b/>
          <w:bCs/>
        </w:rPr>
        <w:t>Consiglio dei Ministri</w:t>
      </w:r>
      <w:proofErr w:type="gramEnd"/>
      <w:r w:rsidRPr="00D4451C">
        <w:rPr>
          <w:b/>
          <w:bCs/>
        </w:rPr>
        <w:t xml:space="preserve">). In questo modello di delegificazione, come ben noto largamente utilizzato a livello nazionale e ormai anche in varie Regioni pur in assenza di disposizioni statutarie in tal senso, </w:t>
      </w:r>
      <w:r w:rsidRPr="00D4451C">
        <w:rPr>
          <w:b/>
          <w:bCs/>
          <w:u w:val="single"/>
        </w:rPr>
        <w:t>è alla legge che autorizza l’adozione del regolamento che deve essere imputato l’effetto abrogativo, mentre il regolamento determina semplicemente il termine iniziale di questa abrogazione</w:t>
      </w:r>
      <w:r w:rsidRPr="00D4451C">
        <w:rPr>
          <w:b/>
          <w:bCs/>
        </w:rPr>
        <w:t>.</w:t>
      </w:r>
    </w:p>
    <w:p w14:paraId="67A04316" w14:textId="77777777" w:rsidR="00D4451C" w:rsidRPr="00D4451C" w:rsidRDefault="00D4451C" w:rsidP="002C5D95">
      <w:pPr>
        <w:jc w:val="both"/>
        <w:rPr>
          <w:b/>
          <w:bCs/>
        </w:rPr>
      </w:pPr>
      <w:r w:rsidRPr="00D4451C">
        <w:rPr>
          <w:b/>
          <w:bCs/>
        </w:rPr>
        <w:t>La stessa preoccupazione che l’adozione di regolamenti del genere possa alterare nelle materie di competenza concorrente il rapporto fra normativa statale di principio e legislazione regionale, dal momento che potrebbe invece risultare necessario che la normazione regionale sia adottata in tutto o in parte mediante legge, può essere fugata dal fatto che lo stesso art. 39, comma 2, che è stato impugnato, dispone che la legge di autorizzazione all’adozione del regolamento deve comunque contenere "</w:t>
      </w:r>
      <w:r w:rsidRPr="00D4451C">
        <w:rPr>
          <w:b/>
          <w:bCs/>
          <w:u w:val="single"/>
        </w:rPr>
        <w:t>le norme generali regolatrici della materia</w:t>
      </w:r>
      <w:r w:rsidRPr="00D4451C">
        <w:rPr>
          <w:b/>
          <w:bCs/>
        </w:rPr>
        <w:t xml:space="preserve">”, </w:t>
      </w:r>
      <w:r w:rsidRPr="00D4451C">
        <w:rPr>
          <w:b/>
          <w:bCs/>
          <w:u w:val="single"/>
        </w:rPr>
        <w:t>nonché la clausola abrogativa</w:t>
      </w:r>
      <w:r w:rsidRPr="00D4451C">
        <w:rPr>
          <w:b/>
          <w:bCs/>
        </w:rPr>
        <w:t xml:space="preserve"> delle disposizioni vigenti. Sarà dunque in relazione a tale legge che potrà essere verificato il rispetto di riserve di legge regionale esistenti nei differenziati settori, con anche la possibilità, in caso di elusione di questo vincolo, di promuovere la relativa questione di legittimità costituzionale.</w:t>
      </w:r>
    </w:p>
    <w:p w14:paraId="1EBE6B84" w14:textId="77777777" w:rsidR="00D4451C" w:rsidRPr="00D4451C" w:rsidRDefault="00D4451C" w:rsidP="002C5D95">
      <w:pPr>
        <w:jc w:val="both"/>
      </w:pPr>
      <w:r w:rsidRPr="00D4451C">
        <w:t>PER QUESTI MOTIVI</w:t>
      </w:r>
    </w:p>
    <w:p w14:paraId="0A2F68AB" w14:textId="77777777" w:rsidR="00D4451C" w:rsidRPr="00D4451C" w:rsidRDefault="00D4451C" w:rsidP="002C5D95">
      <w:pPr>
        <w:jc w:val="both"/>
      </w:pPr>
      <w:r w:rsidRPr="00D4451C">
        <w:t>LA CORTE COSTITUZIONALE</w:t>
      </w:r>
    </w:p>
    <w:p w14:paraId="57CF270F" w14:textId="77777777" w:rsidR="00D4451C" w:rsidRPr="00D4451C" w:rsidRDefault="00D4451C" w:rsidP="002C5D95">
      <w:pPr>
        <w:jc w:val="both"/>
      </w:pPr>
      <w:r w:rsidRPr="00D4451C">
        <w:t>1) dichiara inammissibile il ricorso, iscritto al n. 90 del registro ricorsi del 2004, presentato dal consigliere regionale della Regione Umbria Carlo Ripa di Meana nei confronti della delibera statutaria della Regione Umbria approvata dal Consiglio regionale in prima deliberazione il 2 aprile del 2004 ed in seconda deliberazione il 29 luglio 2004;</w:t>
      </w:r>
    </w:p>
    <w:p w14:paraId="411A5A78" w14:textId="77777777" w:rsidR="00D4451C" w:rsidRPr="00D4451C" w:rsidRDefault="00D4451C" w:rsidP="002C5D95">
      <w:pPr>
        <w:jc w:val="both"/>
      </w:pPr>
      <w:r w:rsidRPr="00D4451C">
        <w:t xml:space="preserve">2) dichiara inammissibile l’intervento spiegato dal consigliere regionale della Regione Umbria Carlo Ripa di Meana, nel giudizio iscritto al n. 88 del registro ricorsi del 2004, relativo alla </w:t>
      </w:r>
      <w:proofErr w:type="gramStart"/>
      <w:r w:rsidRPr="00D4451C">
        <w:t>predetta</w:t>
      </w:r>
      <w:proofErr w:type="gramEnd"/>
      <w:r w:rsidRPr="00D4451C">
        <w:t xml:space="preserve"> delibera statutaria della Regione Umbria;</w:t>
      </w:r>
    </w:p>
    <w:p w14:paraId="2B0D7647" w14:textId="77777777" w:rsidR="00D4451C" w:rsidRPr="00D4451C" w:rsidRDefault="00D4451C" w:rsidP="002C5D95">
      <w:pPr>
        <w:jc w:val="both"/>
      </w:pPr>
      <w:r w:rsidRPr="00D4451C">
        <w:t xml:space="preserve">3) dichiara l’illegittimità costituzionale dell’art. 66, commi 1 e 2, della </w:t>
      </w:r>
      <w:proofErr w:type="gramStart"/>
      <w:r w:rsidRPr="00D4451C">
        <w:t>predetta</w:t>
      </w:r>
      <w:proofErr w:type="gramEnd"/>
      <w:r w:rsidRPr="00D4451C">
        <w:t xml:space="preserve"> delibera statutaria della Regione Umbria;</w:t>
      </w:r>
    </w:p>
    <w:p w14:paraId="3E7F3C9D" w14:textId="77777777" w:rsidR="00D4451C" w:rsidRPr="00D4451C" w:rsidRDefault="00D4451C" w:rsidP="002C5D95">
      <w:pPr>
        <w:jc w:val="both"/>
      </w:pPr>
      <w:r w:rsidRPr="00D4451C">
        <w:lastRenderedPageBreak/>
        <w:t xml:space="preserve">4) dichiara, ai sensi dell'art. 27 della legge 11 marzo 1953, n. 87, l’illegittimità costituzionale dell’art. 66, comma 3, della </w:t>
      </w:r>
      <w:proofErr w:type="gramStart"/>
      <w:r w:rsidRPr="00D4451C">
        <w:t>predetta</w:t>
      </w:r>
      <w:proofErr w:type="gramEnd"/>
      <w:r w:rsidRPr="00D4451C">
        <w:t xml:space="preserve"> delibera statutaria della Regione Umbria;</w:t>
      </w:r>
    </w:p>
    <w:p w14:paraId="32451D11" w14:textId="77777777" w:rsidR="00D4451C" w:rsidRPr="00D4451C" w:rsidRDefault="00D4451C" w:rsidP="002C5D95">
      <w:pPr>
        <w:jc w:val="both"/>
      </w:pPr>
      <w:r w:rsidRPr="00D4451C">
        <w:t xml:space="preserve"> 5) dichiara inammissibili le questioni di legittimità costituzionale dell’art. 9, comma 2, della </w:t>
      </w:r>
      <w:proofErr w:type="gramStart"/>
      <w:r w:rsidRPr="00D4451C">
        <w:t>predetta</w:t>
      </w:r>
      <w:proofErr w:type="gramEnd"/>
      <w:r w:rsidRPr="00D4451C">
        <w:t xml:space="preserve"> delibera statutaria della Regione Umbria, per violazione degli artt. 2, 5, 29, 117, secondo comma, lettera l), e 123 Cost., proposte con il ricorso n. 88 del 2004;</w:t>
      </w:r>
    </w:p>
    <w:p w14:paraId="2078DA56" w14:textId="77777777" w:rsidR="00D4451C" w:rsidRPr="00D4451C" w:rsidRDefault="00D4451C" w:rsidP="002C5D95">
      <w:pPr>
        <w:jc w:val="both"/>
      </w:pPr>
      <w:r w:rsidRPr="00D4451C">
        <w:t xml:space="preserve">6) dichiara non fondate le questioni di legittimità costituzionale dell’art. 39, comma 2, della </w:t>
      </w:r>
      <w:proofErr w:type="gramStart"/>
      <w:r w:rsidRPr="00D4451C">
        <w:t>predetta</w:t>
      </w:r>
      <w:proofErr w:type="gramEnd"/>
      <w:r w:rsidRPr="00D4451C">
        <w:t xml:space="preserve"> delibera statutaria della Regione Umbria, per violazione degli artt. 121 e 117 Cost., proposte con il ricorso n. 88 del 2004;</w:t>
      </w:r>
    </w:p>
    <w:p w14:paraId="575CE1D1" w14:textId="77777777" w:rsidR="00D4451C" w:rsidRPr="00D4451C" w:rsidRDefault="00D4451C" w:rsidP="002C5D95">
      <w:pPr>
        <w:jc w:val="both"/>
      </w:pPr>
      <w:r w:rsidRPr="00D4451C">
        <w:t xml:space="preserve">7) dichiara non fondate le questioni di legittimità costituzionale dell’art. 40 della </w:t>
      </w:r>
      <w:proofErr w:type="gramStart"/>
      <w:r w:rsidRPr="00D4451C">
        <w:t>predetta</w:t>
      </w:r>
      <w:proofErr w:type="gramEnd"/>
      <w:r w:rsidRPr="00D4451C">
        <w:t xml:space="preserve"> delibera statutaria della Regione Umbria, per violazione dell’art. 121 Cost. e del principio di separazione dei poteri, proposta con il ricorso n. 88 del 2004;</w:t>
      </w:r>
    </w:p>
    <w:p w14:paraId="21500132" w14:textId="77777777" w:rsidR="00D4451C" w:rsidRPr="00D4451C" w:rsidRDefault="00D4451C" w:rsidP="002C5D95">
      <w:pPr>
        <w:jc w:val="both"/>
      </w:pPr>
      <w:r w:rsidRPr="00D4451C">
        <w:t xml:space="preserve">8) dichiara non fondate le questioni di legittimità costituzionale dell’art. 82 della </w:t>
      </w:r>
      <w:proofErr w:type="gramStart"/>
      <w:r w:rsidRPr="00D4451C">
        <w:t>predetta</w:t>
      </w:r>
      <w:proofErr w:type="gramEnd"/>
      <w:r w:rsidRPr="00D4451C">
        <w:t xml:space="preserve"> delibera statutaria della Regione Umbria, per violazione degli artt. 121 e 134 Cost., proposte con il ricorso n. 88 del 2004.</w:t>
      </w:r>
    </w:p>
    <w:p w14:paraId="154A8EB8" w14:textId="77777777" w:rsidR="00D4451C" w:rsidRPr="00D4451C" w:rsidRDefault="00D4451C" w:rsidP="002C5D95">
      <w:pPr>
        <w:jc w:val="both"/>
      </w:pPr>
      <w:r w:rsidRPr="00D4451C">
        <w:t>  Così deciso in Roma, nella sede della Corte costituzionale, Palazzo della Consulta, il 29 novembre 2004.</w:t>
      </w:r>
    </w:p>
    <w:p w14:paraId="6851DB1E" w14:textId="77777777" w:rsidR="00D4451C" w:rsidRPr="00D4451C" w:rsidRDefault="00D4451C" w:rsidP="002C5D95">
      <w:pPr>
        <w:jc w:val="both"/>
      </w:pPr>
      <w:r w:rsidRPr="00D4451C">
        <w:t>F.to:</w:t>
      </w:r>
    </w:p>
    <w:p w14:paraId="27500988" w14:textId="77777777" w:rsidR="00D4451C" w:rsidRPr="00D4451C" w:rsidRDefault="00D4451C" w:rsidP="002C5D95">
      <w:pPr>
        <w:jc w:val="both"/>
      </w:pPr>
      <w:r w:rsidRPr="00D4451C">
        <w:t>Valerio ONIDA, Presidente</w:t>
      </w:r>
    </w:p>
    <w:p w14:paraId="448A7502" w14:textId="77777777" w:rsidR="00D4451C" w:rsidRPr="00D4451C" w:rsidRDefault="00D4451C" w:rsidP="002C5D95">
      <w:pPr>
        <w:jc w:val="both"/>
      </w:pPr>
      <w:r w:rsidRPr="00D4451C">
        <w:t>Ugo DE SIERVO, Redattore</w:t>
      </w:r>
    </w:p>
    <w:p w14:paraId="0EB795F6" w14:textId="77777777" w:rsidR="00D4451C" w:rsidRPr="00D4451C" w:rsidRDefault="00D4451C" w:rsidP="002C5D95">
      <w:pPr>
        <w:jc w:val="both"/>
      </w:pPr>
      <w:r w:rsidRPr="00D4451C">
        <w:t>Depositata in Cancelleria il 6 dicembre 2004.</w:t>
      </w:r>
    </w:p>
    <w:p w14:paraId="4D8788E6" w14:textId="77777777" w:rsidR="00B50B1F" w:rsidRDefault="00B50B1F" w:rsidP="002C5D95">
      <w:pPr>
        <w:jc w:val="both"/>
      </w:pPr>
    </w:p>
    <w:sectPr w:rsidR="00B50B1F">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942"/>
    <w:rsid w:val="00116976"/>
    <w:rsid w:val="002C5D95"/>
    <w:rsid w:val="002F21FC"/>
    <w:rsid w:val="003C007E"/>
    <w:rsid w:val="00775ABE"/>
    <w:rsid w:val="007E7792"/>
    <w:rsid w:val="009A6942"/>
    <w:rsid w:val="00AE5BD1"/>
    <w:rsid w:val="00B50B1F"/>
    <w:rsid w:val="00BF126E"/>
    <w:rsid w:val="00D4451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026E0F"/>
  <w15:chartTrackingRefBased/>
  <w15:docId w15:val="{584F6D29-D9EF-40D9-8A75-81E4152FC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9A694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9A694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9A6942"/>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9A6942"/>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9A6942"/>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9A6942"/>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9A6942"/>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9A6942"/>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9A6942"/>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9A6942"/>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9A6942"/>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9A6942"/>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9A6942"/>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9A6942"/>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9A6942"/>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9A6942"/>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9A6942"/>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9A6942"/>
    <w:rPr>
      <w:rFonts w:eastAsiaTheme="majorEastAsia" w:cstheme="majorBidi"/>
      <w:color w:val="272727" w:themeColor="text1" w:themeTint="D8"/>
    </w:rPr>
  </w:style>
  <w:style w:type="paragraph" w:styleId="Titolo">
    <w:name w:val="Title"/>
    <w:basedOn w:val="Normale"/>
    <w:next w:val="Normale"/>
    <w:link w:val="TitoloCarattere"/>
    <w:uiPriority w:val="10"/>
    <w:qFormat/>
    <w:rsid w:val="009A694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9A6942"/>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9A6942"/>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9A6942"/>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9A6942"/>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9A6942"/>
    <w:rPr>
      <w:i/>
      <w:iCs/>
      <w:color w:val="404040" w:themeColor="text1" w:themeTint="BF"/>
    </w:rPr>
  </w:style>
  <w:style w:type="paragraph" w:styleId="Paragrafoelenco">
    <w:name w:val="List Paragraph"/>
    <w:basedOn w:val="Normale"/>
    <w:uiPriority w:val="34"/>
    <w:qFormat/>
    <w:rsid w:val="009A6942"/>
    <w:pPr>
      <w:ind w:left="720"/>
      <w:contextualSpacing/>
    </w:pPr>
  </w:style>
  <w:style w:type="character" w:styleId="Enfasiintensa">
    <w:name w:val="Intense Emphasis"/>
    <w:basedOn w:val="Carpredefinitoparagrafo"/>
    <w:uiPriority w:val="21"/>
    <w:qFormat/>
    <w:rsid w:val="009A6942"/>
    <w:rPr>
      <w:i/>
      <w:iCs/>
      <w:color w:val="0F4761" w:themeColor="accent1" w:themeShade="BF"/>
    </w:rPr>
  </w:style>
  <w:style w:type="paragraph" w:styleId="Citazioneintensa">
    <w:name w:val="Intense Quote"/>
    <w:basedOn w:val="Normale"/>
    <w:next w:val="Normale"/>
    <w:link w:val="CitazioneintensaCarattere"/>
    <w:uiPriority w:val="30"/>
    <w:qFormat/>
    <w:rsid w:val="009A694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9A6942"/>
    <w:rPr>
      <w:i/>
      <w:iCs/>
      <w:color w:val="0F4761" w:themeColor="accent1" w:themeShade="BF"/>
    </w:rPr>
  </w:style>
  <w:style w:type="character" w:styleId="Riferimentointenso">
    <w:name w:val="Intense Reference"/>
    <w:basedOn w:val="Carpredefinitoparagrafo"/>
    <w:uiPriority w:val="32"/>
    <w:qFormat/>
    <w:rsid w:val="009A6942"/>
    <w:rPr>
      <w:b/>
      <w:bCs/>
      <w:smallCaps/>
      <w:color w:val="0F4761" w:themeColor="accent1" w:themeShade="BF"/>
      <w:spacing w:val="5"/>
    </w:rPr>
  </w:style>
  <w:style w:type="character" w:styleId="Collegamentoipertestuale">
    <w:name w:val="Hyperlink"/>
    <w:basedOn w:val="Carpredefinitoparagrafo"/>
    <w:uiPriority w:val="99"/>
    <w:unhideWhenUsed/>
    <w:rsid w:val="00D4451C"/>
    <w:rPr>
      <w:color w:val="467886" w:themeColor="hyperlink"/>
      <w:u w:val="single"/>
    </w:rPr>
  </w:style>
  <w:style w:type="character" w:styleId="Menzionenonrisolta">
    <w:name w:val="Unresolved Mention"/>
    <w:basedOn w:val="Carpredefinitoparagrafo"/>
    <w:uiPriority w:val="99"/>
    <w:semiHidden/>
    <w:unhideWhenUsed/>
    <w:rsid w:val="00D445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8937957">
      <w:bodyDiv w:val="1"/>
      <w:marLeft w:val="0"/>
      <w:marRight w:val="0"/>
      <w:marTop w:val="0"/>
      <w:marBottom w:val="0"/>
      <w:divBdr>
        <w:top w:val="none" w:sz="0" w:space="0" w:color="auto"/>
        <w:left w:val="none" w:sz="0" w:space="0" w:color="auto"/>
        <w:bottom w:val="none" w:sz="0" w:space="0" w:color="auto"/>
        <w:right w:val="none" w:sz="0" w:space="0" w:color="auto"/>
      </w:divBdr>
    </w:div>
    <w:div w:id="14176324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3</Pages>
  <Words>937</Words>
  <Characters>5343</Characters>
  <Application>Microsoft Office Word</Application>
  <DocSecurity>0</DocSecurity>
  <Lines>44</Lines>
  <Paragraphs>12</Paragraphs>
  <ScaleCrop>false</ScaleCrop>
  <Company/>
  <LinksUpToDate>false</LinksUpToDate>
  <CharactersWithSpaces>6268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Maria Cherchi</dc:creator>
  <cp:keywords/>
  <dc:description/>
  <cp:lastModifiedBy>Roberto Maria Cherchi</cp:lastModifiedBy>
  <cp:revision>9</cp:revision>
  <dcterms:created xsi:type="dcterms:W3CDTF">2025-10-08T13:14:00Z</dcterms:created>
  <dcterms:modified xsi:type="dcterms:W3CDTF">2025-10-08T13:43:00Z</dcterms:modified>
</cp:coreProperties>
</file>