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6E0B8A" w14:textId="77777777" w:rsidR="00AC61E0" w:rsidRPr="00AC61E0" w:rsidRDefault="00AC61E0" w:rsidP="00D72F67">
      <w:pPr>
        <w:jc w:val="both"/>
      </w:pPr>
      <w:r w:rsidRPr="00AC61E0">
        <w:t>SENTENZA N. 62</w:t>
      </w:r>
    </w:p>
    <w:p w14:paraId="2CBD7A03" w14:textId="77777777" w:rsidR="00AC61E0" w:rsidRPr="00AC61E0" w:rsidRDefault="00AC61E0" w:rsidP="00D72F67">
      <w:pPr>
        <w:jc w:val="both"/>
      </w:pPr>
      <w:r w:rsidRPr="00AC61E0">
        <w:t>ANNO 2013</w:t>
      </w:r>
    </w:p>
    <w:p w14:paraId="7BFE8680" w14:textId="77777777" w:rsidR="00AC61E0" w:rsidRPr="00AC61E0" w:rsidRDefault="00AC61E0" w:rsidP="00D72F67">
      <w:pPr>
        <w:jc w:val="both"/>
      </w:pPr>
      <w:r w:rsidRPr="00AC61E0">
        <w:t> </w:t>
      </w:r>
    </w:p>
    <w:p w14:paraId="6E7ACC4A" w14:textId="77777777" w:rsidR="00AC61E0" w:rsidRPr="00AC61E0" w:rsidRDefault="00AC61E0" w:rsidP="00D72F67">
      <w:pPr>
        <w:jc w:val="both"/>
      </w:pPr>
      <w:r w:rsidRPr="00AC61E0">
        <w:t>REPUBBLICA ITALIANA</w:t>
      </w:r>
    </w:p>
    <w:p w14:paraId="77FC3362" w14:textId="77777777" w:rsidR="00AC61E0" w:rsidRPr="00AC61E0" w:rsidRDefault="00AC61E0" w:rsidP="00D72F67">
      <w:pPr>
        <w:jc w:val="both"/>
      </w:pPr>
      <w:r w:rsidRPr="00AC61E0">
        <w:t>IN NOME DEL POPOLO ITALIANO</w:t>
      </w:r>
    </w:p>
    <w:p w14:paraId="214C2439" w14:textId="77777777" w:rsidR="00AC61E0" w:rsidRPr="00AC61E0" w:rsidRDefault="00AC61E0" w:rsidP="00D72F67">
      <w:pPr>
        <w:jc w:val="both"/>
      </w:pPr>
      <w:r w:rsidRPr="00AC61E0">
        <w:t>LA CORTE COSTITUZIONALE</w:t>
      </w:r>
    </w:p>
    <w:p w14:paraId="01166EA9" w14:textId="77777777" w:rsidR="00AC61E0" w:rsidRPr="00AC61E0" w:rsidRDefault="00AC61E0" w:rsidP="00D72F67">
      <w:pPr>
        <w:jc w:val="both"/>
      </w:pPr>
      <w:r w:rsidRPr="00AC61E0">
        <w:t>composta dai signori:</w:t>
      </w:r>
    </w:p>
    <w:p w14:paraId="549FF59A" w14:textId="77777777" w:rsidR="00AC61E0" w:rsidRPr="00AC61E0" w:rsidRDefault="00AC61E0" w:rsidP="00D72F67">
      <w:pPr>
        <w:jc w:val="both"/>
      </w:pPr>
      <w:r w:rsidRPr="00AC61E0">
        <w:t>-           Franco                         GALLO                                            Presidente</w:t>
      </w:r>
    </w:p>
    <w:p w14:paraId="179DF53B" w14:textId="77777777" w:rsidR="00AC61E0" w:rsidRPr="00AC61E0" w:rsidRDefault="00AC61E0" w:rsidP="00D72F67">
      <w:pPr>
        <w:jc w:val="both"/>
      </w:pPr>
      <w:r w:rsidRPr="00AC61E0">
        <w:t>-           Luigi                           MAZZELLA                                     Giudice</w:t>
      </w:r>
    </w:p>
    <w:p w14:paraId="21D5A709" w14:textId="77777777" w:rsidR="00AC61E0" w:rsidRPr="00AC61E0" w:rsidRDefault="00AC61E0" w:rsidP="00D72F67">
      <w:pPr>
        <w:jc w:val="both"/>
      </w:pPr>
      <w:r w:rsidRPr="00AC61E0">
        <w:t>-           Gaetano                       SILVESTRI                                             ”</w:t>
      </w:r>
    </w:p>
    <w:p w14:paraId="1C75CC81" w14:textId="77777777" w:rsidR="00AC61E0" w:rsidRPr="00AC61E0" w:rsidRDefault="00AC61E0" w:rsidP="00D72F67">
      <w:pPr>
        <w:jc w:val="both"/>
      </w:pPr>
      <w:r w:rsidRPr="00AC61E0">
        <w:t>-           Sabino                         CASSESE                                                ”</w:t>
      </w:r>
    </w:p>
    <w:p w14:paraId="6E33283C" w14:textId="77777777" w:rsidR="00AC61E0" w:rsidRPr="00AC61E0" w:rsidRDefault="00AC61E0" w:rsidP="00D72F67">
      <w:pPr>
        <w:jc w:val="both"/>
      </w:pPr>
      <w:r w:rsidRPr="00AC61E0">
        <w:t>-           Giuseppe                     TESAURO                                               ”</w:t>
      </w:r>
    </w:p>
    <w:p w14:paraId="3B9B688E" w14:textId="77777777" w:rsidR="00AC61E0" w:rsidRPr="00AC61E0" w:rsidRDefault="00AC61E0" w:rsidP="00D72F67">
      <w:pPr>
        <w:jc w:val="both"/>
      </w:pPr>
      <w:r w:rsidRPr="00AC61E0">
        <w:t>-           Paolo Maria                 NAPOLITANO                                       ”</w:t>
      </w:r>
    </w:p>
    <w:p w14:paraId="5406D2A5" w14:textId="77777777" w:rsidR="00AC61E0" w:rsidRPr="00AC61E0" w:rsidRDefault="00AC61E0" w:rsidP="00D72F67">
      <w:pPr>
        <w:jc w:val="both"/>
      </w:pPr>
      <w:r w:rsidRPr="00AC61E0">
        <w:t>-           Giuseppe                     FRIGO                                                     ”</w:t>
      </w:r>
    </w:p>
    <w:p w14:paraId="24CBF396" w14:textId="77777777" w:rsidR="00AC61E0" w:rsidRPr="00AC61E0" w:rsidRDefault="00AC61E0" w:rsidP="00D72F67">
      <w:pPr>
        <w:jc w:val="both"/>
      </w:pPr>
      <w:r w:rsidRPr="00AC61E0">
        <w:t>-           Alessandro                  CRISCUOLO                                          ”</w:t>
      </w:r>
    </w:p>
    <w:p w14:paraId="3F4C8DB2" w14:textId="77777777" w:rsidR="00AC61E0" w:rsidRPr="00AC61E0" w:rsidRDefault="00AC61E0" w:rsidP="00D72F67">
      <w:pPr>
        <w:jc w:val="both"/>
      </w:pPr>
      <w:r w:rsidRPr="00AC61E0">
        <w:t>-           Paolo                           GROSSI                                                   ”</w:t>
      </w:r>
    </w:p>
    <w:p w14:paraId="76E4B516" w14:textId="77777777" w:rsidR="00AC61E0" w:rsidRPr="00AC61E0" w:rsidRDefault="00AC61E0" w:rsidP="00D72F67">
      <w:pPr>
        <w:jc w:val="both"/>
      </w:pPr>
      <w:r w:rsidRPr="00AC61E0">
        <w:t>-           Giorgio                        LATTANZI                                              ”</w:t>
      </w:r>
    </w:p>
    <w:p w14:paraId="3F03FB83" w14:textId="77777777" w:rsidR="00AC61E0" w:rsidRPr="00AC61E0" w:rsidRDefault="00AC61E0" w:rsidP="00D72F67">
      <w:pPr>
        <w:jc w:val="both"/>
      </w:pPr>
      <w:r w:rsidRPr="00AC61E0">
        <w:t>-           Aldo                            CAROSI                                                   ”</w:t>
      </w:r>
    </w:p>
    <w:p w14:paraId="16D4A76F" w14:textId="77777777" w:rsidR="00AC61E0" w:rsidRPr="00AC61E0" w:rsidRDefault="00AC61E0" w:rsidP="00D72F67">
      <w:pPr>
        <w:jc w:val="both"/>
      </w:pPr>
      <w:r w:rsidRPr="00AC61E0">
        <w:t>-           Marta                           CARTABIA                                             ”</w:t>
      </w:r>
    </w:p>
    <w:p w14:paraId="772814CE" w14:textId="77777777" w:rsidR="00AC61E0" w:rsidRPr="00AC61E0" w:rsidRDefault="00AC61E0" w:rsidP="00D72F67">
      <w:pPr>
        <w:jc w:val="both"/>
      </w:pPr>
      <w:r w:rsidRPr="00AC61E0">
        <w:t>-           Sergio                          MATTARELLA                                       ”</w:t>
      </w:r>
    </w:p>
    <w:p w14:paraId="57B3079D" w14:textId="77777777" w:rsidR="00AC61E0" w:rsidRPr="00AC61E0" w:rsidRDefault="00AC61E0" w:rsidP="00D72F67">
      <w:pPr>
        <w:jc w:val="both"/>
      </w:pPr>
      <w:r w:rsidRPr="00AC61E0">
        <w:t>-           Mario Rosario              MORELLI                                                ”</w:t>
      </w:r>
    </w:p>
    <w:p w14:paraId="0A37F7B7" w14:textId="77777777" w:rsidR="00AC61E0" w:rsidRPr="00AC61E0" w:rsidRDefault="00AC61E0" w:rsidP="00D72F67">
      <w:pPr>
        <w:jc w:val="both"/>
      </w:pPr>
      <w:r w:rsidRPr="00AC61E0">
        <w:t>-           Giancarlo                     CORAGGIO                                            ”</w:t>
      </w:r>
    </w:p>
    <w:p w14:paraId="2026ED9E" w14:textId="77777777" w:rsidR="00AC61E0" w:rsidRPr="00AC61E0" w:rsidRDefault="00AC61E0" w:rsidP="00D72F67">
      <w:pPr>
        <w:jc w:val="both"/>
      </w:pPr>
      <w:r w:rsidRPr="00AC61E0">
        <w:t>ha pronunciato la seguente</w:t>
      </w:r>
    </w:p>
    <w:p w14:paraId="10767A7A" w14:textId="77777777" w:rsidR="00AC61E0" w:rsidRPr="00AC61E0" w:rsidRDefault="00AC61E0" w:rsidP="00D72F67">
      <w:pPr>
        <w:jc w:val="both"/>
      </w:pPr>
      <w:r w:rsidRPr="00AC61E0">
        <w:t>SENTENZA</w:t>
      </w:r>
    </w:p>
    <w:p w14:paraId="2C455704" w14:textId="77777777" w:rsidR="00AC61E0" w:rsidRPr="00AC61E0" w:rsidRDefault="00AC61E0" w:rsidP="00D72F67">
      <w:pPr>
        <w:jc w:val="both"/>
      </w:pPr>
      <w:r w:rsidRPr="00AC61E0">
        <w:t>nel giudizio di legittimità costituzionale degli articoli 29, 40, 41, 50, comma 1, 53, comma 7, e 60 del decreto-legge 9 febbraio 2012, n. 5 (Disposizioni urgenti in materia di semplificazione e di sviluppo), convertito, con modificazioni, dalla legge 4 aprile 2012, n. 35, promosso dalla Regione Veneto, con ricorso notificato il 5 giugno 2012, depositato in cancelleria l’11 giugno 2012 ed iscritto al n. 89 del registro ricorsi 2012.</w:t>
      </w:r>
    </w:p>
    <w:p w14:paraId="7B27ECDF" w14:textId="77777777" w:rsidR="00AC61E0" w:rsidRPr="00AC61E0" w:rsidRDefault="00AC61E0" w:rsidP="00D72F67">
      <w:pPr>
        <w:jc w:val="both"/>
      </w:pPr>
      <w:r w:rsidRPr="00AC61E0">
        <w:rPr>
          <w:i/>
          <w:iCs/>
        </w:rPr>
        <w:t>Visto</w:t>
      </w:r>
      <w:r w:rsidRPr="00AC61E0">
        <w:t> l’atto di costituzione del Presidente del Consiglio dei ministri;</w:t>
      </w:r>
    </w:p>
    <w:p w14:paraId="45B71E99" w14:textId="77777777" w:rsidR="00AC61E0" w:rsidRPr="00AC61E0" w:rsidRDefault="00AC61E0" w:rsidP="00D72F67">
      <w:pPr>
        <w:jc w:val="both"/>
      </w:pPr>
      <w:r w:rsidRPr="00AC61E0">
        <w:rPr>
          <w:i/>
          <w:iCs/>
        </w:rPr>
        <w:t>uditi</w:t>
      </w:r>
      <w:r w:rsidRPr="00AC61E0">
        <w:t> nell’udienza pubblica del 26 febbraio 2013 il Giudice relatore Paolo Maria Napolitano;</w:t>
      </w:r>
    </w:p>
    <w:p w14:paraId="1D1DA987" w14:textId="77777777" w:rsidR="00AC61E0" w:rsidRPr="00AC61E0" w:rsidRDefault="00AC61E0" w:rsidP="00D72F67">
      <w:pPr>
        <w:jc w:val="both"/>
      </w:pPr>
      <w:r w:rsidRPr="00AC61E0">
        <w:rPr>
          <w:i/>
          <w:iCs/>
        </w:rPr>
        <w:t>uditi</w:t>
      </w:r>
      <w:r w:rsidRPr="00AC61E0">
        <w:t> gli avvocati Bruno Barel e Daniela Palumbo per la Regione Veneto e l’avvocato dello Stato Vittorio Cesaroni per il Presidente del Consiglio dei ministri.</w:t>
      </w:r>
    </w:p>
    <w:p w14:paraId="15FD60A2" w14:textId="77777777" w:rsidR="00AC61E0" w:rsidRPr="00AC61E0" w:rsidRDefault="00AC61E0" w:rsidP="00D72F67">
      <w:pPr>
        <w:jc w:val="both"/>
      </w:pPr>
      <w:bookmarkStart w:id="0" w:name="fatto"/>
      <w:bookmarkEnd w:id="0"/>
      <w:r w:rsidRPr="00AC61E0">
        <w:rPr>
          <w:i/>
          <w:iCs/>
        </w:rPr>
        <w:lastRenderedPageBreak/>
        <w:t>Ritenuto in fatto</w:t>
      </w:r>
    </w:p>
    <w:p w14:paraId="3470F05B" w14:textId="77777777" w:rsidR="00AC61E0" w:rsidRPr="00AC61E0" w:rsidRDefault="00AC61E0" w:rsidP="00D72F67">
      <w:pPr>
        <w:jc w:val="both"/>
      </w:pPr>
      <w:r w:rsidRPr="00AC61E0">
        <w:t>1.– Con ricorso notificato il 5 giugno 2012 e depositato il successivo 11 giugno la Regione Veneto ha impugnato, tra gli altri, gli articoli 29, 40, 41, 50, comma 1, 53, comma 7, e 60 del decreto-legge 9 febbraio 2012, n. 5 (Disposizioni urgenti in materia di semplificazione e di sviluppo), convertito, con modificazioni, dalla legge 4 aprile 2012, n. 35, per violazione degli articoli 117, quarto comma, 118 e 120 della Costituzione, in relazione al principio di leale collaborazione tra Stato e Regioni.</w:t>
      </w:r>
    </w:p>
    <w:p w14:paraId="6BC1B42A" w14:textId="77777777" w:rsidR="00AC61E0" w:rsidRPr="00AC61E0" w:rsidRDefault="00AC61E0" w:rsidP="00D72F67">
      <w:pPr>
        <w:jc w:val="both"/>
      </w:pPr>
      <w:r w:rsidRPr="00AC61E0">
        <w:t>1.1.– In particolare, l’art. 29 del d.l. n. 5 del 2012, recante «Disposizioni a favore del settore bieticolo-saccarifero», al comma 1 dispone che i progetti di riconversione del comparto bieticolo-saccarifero approvati dall’apposito Comitato interministeriale «rivestono carattere di interesse nazionale anche ai fini della definizione e del perfezionamento dei processi autorizzativi e dell’effettiva entrata in esercizio» e, al comma 2, stabilisce che entro 30 giorni dall’entrata in vigore del decreto-legge «il Comitato interministeriale di cui al comma 1 dispone le norme idonee nel quadro delle competenze amministrative regionali atte a garantire l’esecutività dei progetti suddetti, nomina, nei casi di particolare necessità, ai sensi dell’art. 20 del decreto-legge 29 novembre 2008, n. 185, convertito, con modificazioni, dalla legge 28 gennaio 2009, n. 2, un commissario ad acta per l’attuazione degli accordi definiti in sede regionale con coordinamento del Comitato interministeriale».</w:t>
      </w:r>
    </w:p>
    <w:p w14:paraId="012998B0" w14:textId="77777777" w:rsidR="00AC61E0" w:rsidRPr="00AC61E0" w:rsidRDefault="00AC61E0" w:rsidP="00D72F67">
      <w:pPr>
        <w:jc w:val="both"/>
      </w:pPr>
      <w:r w:rsidRPr="00AC61E0">
        <w:t>La ricorrente precisa che il contesto normativo nel quale viene a collocarsi la disposizione impugnata è rappresentato dal decreto-legge 10 gennaio 2006, n. 2 (Interventi urgenti per i settori dell’agricoltura, dell’agroindustria, della pesca, nonché in materia di fiscalità d’impresa), convertito, con modificazioni, dalla legge 11 marzo 2006, n. 81.</w:t>
      </w:r>
    </w:p>
    <w:p w14:paraId="33D33AEE" w14:textId="77777777" w:rsidR="00AC61E0" w:rsidRPr="00AC61E0" w:rsidRDefault="00AC61E0" w:rsidP="00D72F67">
      <w:pPr>
        <w:jc w:val="both"/>
      </w:pPr>
      <w:r w:rsidRPr="00AC61E0">
        <w:t>L’art. 2 del decreto citato, al fine di fronteggiare la grave crisi del settore bieticolo-saccarifero, ha istituito presso la Presidenza del Consiglio dei ministri un Comitato interministeriale, col compito (comma 2): a) di approvare entro 45 giorni «il piano per la razionalizzazione e la riconversione della produzione bieticola-saccarifera»; b) di coordinare «le misure comunitarie e nazionali previste per la riconversione industriale del settore e per le connesse problematiche sociali»; c) di formulare «direttive per l’approvazione dei progetti di riconversione».</w:t>
      </w:r>
    </w:p>
    <w:p w14:paraId="49888FA2" w14:textId="77777777" w:rsidR="00AC61E0" w:rsidRPr="00AC61E0" w:rsidRDefault="00AC61E0" w:rsidP="00D72F67">
      <w:pPr>
        <w:jc w:val="both"/>
      </w:pPr>
      <w:r w:rsidRPr="00AC61E0">
        <w:t>La medesima disposizione statale ha previsto poi (comma 3) l’approvazione da parte del Ministro per le politiche agricole dei progetti di riconversione presentati per ciascuno degli impianti industriali ove sarebbe cessata la produzione di zucchero, ed ulteriori misure di sostegno, anche da parte dell’AGEA (commi da 4 a 5-bis, variamente modificati in sede di conversione e da leggi sopravvenute).</w:t>
      </w:r>
    </w:p>
    <w:p w14:paraId="16FB10A9" w14:textId="77777777" w:rsidR="00AC61E0" w:rsidRPr="00AC61E0" w:rsidRDefault="00AC61E0" w:rsidP="00D72F67">
      <w:pPr>
        <w:jc w:val="both"/>
      </w:pPr>
      <w:r w:rsidRPr="00AC61E0">
        <w:t>Le misure adottate erano coerenti con quelle decise a livello comunitario, per la ristrutturazione dell’industria comunitaria dello zucchero, mediante il regolamento CE n. 320/2006 del Consiglio, del 20 febbraio 2006 (relativo a un regime temporaneo per la ristrutturazione dell’industria dello zucchero nella Comunità europea e che modifica il regolamento CE n. 1290/2005 relativo al funzionamento della politica agricola comune).</w:t>
      </w:r>
    </w:p>
    <w:p w14:paraId="38BAD440" w14:textId="77777777" w:rsidR="00AC61E0" w:rsidRPr="00AC61E0" w:rsidRDefault="00AC61E0" w:rsidP="00D72F67">
      <w:pPr>
        <w:jc w:val="both"/>
      </w:pPr>
      <w:r w:rsidRPr="00AC61E0">
        <w:t>La Regione Veneto ha dato attuazione a quanto previsto dal regolamento comunitario e dalle correlate disposizioni statali, relativamente allo stabilimento saccarifero presente nel territorio regionale di Porto Viro, con un accordo di riconversione approvato, con deliberazione di Giunta regionale n. 1234 dell’8 maggio 2007 (in B.U.R. n. 49 del 29 maggio 2007), accordo poi modificato con un "Accordo integrativo” approvato con deliberazione di Giunta regionale n. 983 del 21 aprile 2009 (in B.U.R. n. 37 del 5 maggio 2009).</w:t>
      </w:r>
    </w:p>
    <w:p w14:paraId="726D5F35" w14:textId="77777777" w:rsidR="00AC61E0" w:rsidRPr="00AC61E0" w:rsidRDefault="00AC61E0" w:rsidP="00D72F67">
      <w:pPr>
        <w:jc w:val="both"/>
      </w:pPr>
      <w:r w:rsidRPr="00AC61E0">
        <w:t>La Regione evidenzia che la disposizione statale impugnata affida al Comitato interministeriale sia l’emanazione di non meglio precisate «norme idonee nel quadro delle competenze amministrative regionali atte a garantire l’esecutività dei progetti suddetti», sia la «nomina, nei casi di particolare necessità, ai sensi dell’art. 20 del decreto-legge 29 novembre 2008, n. 185, convertito, con modificazioni, dalla legge 28 gennaio 2009, n. 2, di un commissario ad acta per l’attuazione degli accordi definiti in sede regionale con coordinamento del Comitato interministeriale».</w:t>
      </w:r>
    </w:p>
    <w:p w14:paraId="68EA6ACA" w14:textId="77777777" w:rsidR="00AC61E0" w:rsidRPr="00AC61E0" w:rsidRDefault="00AC61E0" w:rsidP="00D72F67">
      <w:pPr>
        <w:jc w:val="both"/>
      </w:pPr>
      <w:r w:rsidRPr="00AC61E0">
        <w:t>La ricorrente lamenta che le nuove disposizioni statali, col riclassificare di interesse nazionale l’implementazione di tutti gli accordi regionali, in via generale e generica, sottopongono la connessa attività amministrativa regionale a vigilanza e controllo del Comitato ministeriale e consentono la nomina, da parte del medesimo Comitato, di commissari ad acta dotati anche di poteri sostitutivi.</w:t>
      </w:r>
    </w:p>
    <w:p w14:paraId="040FAF03" w14:textId="77777777" w:rsidR="00AC61E0" w:rsidRPr="00AC61E0" w:rsidRDefault="00AC61E0" w:rsidP="00D72F67">
      <w:pPr>
        <w:jc w:val="both"/>
      </w:pPr>
      <w:r w:rsidRPr="00AC61E0">
        <w:t>Secondo la Regione, l’art. 29 del decreto-legge in oggetto andrebbe ascritto alla materia «agricoltura» e, pertanto, violerebbe la sfera di competenza legislativa e amministrativa esclusiva propria della Regione del Veneto, ai sensi dell’art. 117, quarto comma, Cost.</w:t>
      </w:r>
    </w:p>
    <w:p w14:paraId="68B9C195" w14:textId="77777777" w:rsidR="00AC61E0" w:rsidRPr="00AC61E0" w:rsidRDefault="00AC61E0" w:rsidP="00D72F67">
      <w:pPr>
        <w:jc w:val="both"/>
      </w:pPr>
      <w:r w:rsidRPr="00AC61E0">
        <w:t>La norma impugnata, inoltre, violerebbe anche l’art. 118 Cost. in quanto avocherebbe allo Stato, oltre ad un’attività normativa non meglio precisata, perfino l’attuazione in sede amministrativa degli accordi regionali finalizzati alla ristrutturazione dell’industria saccarifera nel quadro del regime temporaneo di aiuti istituito a livello dell’Unione.</w:t>
      </w:r>
    </w:p>
    <w:p w14:paraId="39445383" w14:textId="77777777" w:rsidR="00AC61E0" w:rsidRPr="00AC61E0" w:rsidRDefault="00AC61E0" w:rsidP="00D72F67">
      <w:pPr>
        <w:jc w:val="both"/>
      </w:pPr>
      <w:r w:rsidRPr="00AC61E0">
        <w:t>In tal modo, infine, sarebbe leso anche il principio costituzionale di leale collaborazione, sotteso all’art. 120 Cost., perché con la disposizione in esame si disarticolerebbe quell’equilibrio nella cooperazione fra Stato e Regioni delineato dalla previgente normativa, fino a prefigurare una sorta di commissariamento delle Regioni perfino nella gestione operativa e dettagliata degli adempimenti amministrativi finalizzati all’implementazione di accordi con parti private.</w:t>
      </w:r>
    </w:p>
    <w:p w14:paraId="0D448F07" w14:textId="77777777" w:rsidR="00AC61E0" w:rsidRPr="00AC61E0" w:rsidRDefault="00AC61E0" w:rsidP="00D72F67">
      <w:pPr>
        <w:jc w:val="both"/>
      </w:pPr>
      <w:r w:rsidRPr="00AC61E0">
        <w:t>Spetterebbe invece alla Regione, oltre alla conclusione degli Accordi di ristrutturazione nel quadro del Programma nazionale, anche – a maggior ragione – la loro attuazione, attraverso la disciplina e l’attivazione degli appropriati procedimenti amministrativi.</w:t>
      </w:r>
    </w:p>
    <w:p w14:paraId="1A2FA921" w14:textId="77777777" w:rsidR="00AC61E0" w:rsidRPr="00AC61E0" w:rsidRDefault="00AC61E0" w:rsidP="00D72F67">
      <w:pPr>
        <w:jc w:val="both"/>
      </w:pPr>
      <w:r w:rsidRPr="00AC61E0">
        <w:t>1.2.– La seconda delle norme impugnate è l’art. 40 del d.l. n. 5 del 2012 dal titolo «Soppressione del vincolo in materia di chiusura domenicale e festiva per le imprese di panificazione di natura produttiva» che abroga il secondo periodo dell’art. 11, comma 13, della legge 3 agosto 1999, n. 265 (Disposizioni in materia di autonomia e ordinamento degli enti locali, nonché modifiche alla legge 8 giugno 1990, n. 142).</w:t>
      </w:r>
    </w:p>
    <w:p w14:paraId="3178298F" w14:textId="77777777" w:rsidR="00AC61E0" w:rsidRPr="00AC61E0" w:rsidRDefault="00AC61E0" w:rsidP="00D72F67">
      <w:pPr>
        <w:jc w:val="both"/>
      </w:pPr>
      <w:r w:rsidRPr="00AC61E0">
        <w:t>L’art. 11, comma 13, della legge n. 265 del 1999 dispone: «È abrogata la legge 13 luglio 1966, n. 611. All’attività di panificazione autorizzata ai sensi della legge 31 luglio 1956, n. 1002, si applicano gli articoli 11, comma 4, 12 e 13 del decreto legislativo 31 marzo 1998, n. 114».</w:t>
      </w:r>
    </w:p>
    <w:p w14:paraId="69DF333B" w14:textId="77777777" w:rsidR="00AC61E0" w:rsidRPr="00AC61E0" w:rsidRDefault="00AC61E0" w:rsidP="00D72F67">
      <w:pPr>
        <w:jc w:val="both"/>
      </w:pPr>
      <w:r w:rsidRPr="00AC61E0">
        <w:t>La disposizione statale censurata va, dunque, ad abrogare quella proposizione normativa (secondo periodo) che assoggettava l’attività di panificazione ad alcune disposizioni del decreto legislativo 31 marzo 1998, n. 114 (Riforma della disciplina relativa al settore del commercio, a norma dell’articolo 4, comma 4, della legge 15 marzo 1997, n. 59).</w:t>
      </w:r>
    </w:p>
    <w:p w14:paraId="32BD47EF" w14:textId="77777777" w:rsidR="00AC61E0" w:rsidRPr="00AC61E0" w:rsidRDefault="00AC61E0" w:rsidP="00D72F67">
      <w:pPr>
        <w:jc w:val="both"/>
      </w:pPr>
      <w:r w:rsidRPr="00AC61E0">
        <w:t>La finalità della novella, resa evidente fin dalla rubrica e perseguita mediante l’abrogazione del rinvio alle disposizioni che regolamentavano la chiusura domenicale e festiva, è costituita dalla liberalizzazione delle aperture dei panifici per la commercializzazione della propria produzione. Si intende estendere anche alle imprese artigiane di panificazione che curano la commercializzazione diretta di prodotti propri la cosiddetta liberalizzazione delle aperture degli esercizi commerciali al dettaglio, già disposta con il decreto-legge 6 dicembre 2011, n. 201 (Disposizioni urgenti per la crescita, l’equità e il consolidamento dei conti pubblici), convertito, con modificazioni, dalla legge 22 dicembre 2011, n. 214.</w:t>
      </w:r>
    </w:p>
    <w:p w14:paraId="227D6C13" w14:textId="77777777" w:rsidR="00AC61E0" w:rsidRPr="00AC61E0" w:rsidRDefault="00AC61E0" w:rsidP="00D72F67">
      <w:pPr>
        <w:jc w:val="both"/>
      </w:pPr>
      <w:r w:rsidRPr="00AC61E0">
        <w:t>Secondo la ricorrente la norma impugnata violerebbe l’art. 117, quarto comma, Cost.</w:t>
      </w:r>
    </w:p>
    <w:p w14:paraId="40A7DCFC" w14:textId="77777777" w:rsidR="00AC61E0" w:rsidRPr="00AC61E0" w:rsidRDefault="00AC61E0" w:rsidP="00D72F67">
      <w:pPr>
        <w:jc w:val="both"/>
      </w:pPr>
      <w:r w:rsidRPr="00AC61E0">
        <w:t>In particolare, la disposizione statale andrebbe a confliggere con la specifica disciplina dettata dalla Regione Veneto con la legge 21 settembre 2007, n. 29 (Disciplina dell’esercizio dell’attività di somministrazione di alimenti e bevande), art. 25, nell’esercizio della propria competenza legislativa esclusiva sia in materia di commercio che di artigianato.</w:t>
      </w:r>
    </w:p>
    <w:p w14:paraId="02D57F59" w14:textId="77777777" w:rsidR="00AC61E0" w:rsidRPr="00AC61E0" w:rsidRDefault="00AC61E0" w:rsidP="00D72F67">
      <w:pPr>
        <w:jc w:val="both"/>
      </w:pPr>
      <w:r w:rsidRPr="00AC61E0">
        <w:t>In proposito la Regione Veneto rammenta di aver già impugnato l’art. 31 del decreto-legge n. 201 del 2011 e, coerentemente con quanto dedotto nel suddetto ricorso, a tutela delle proprie prerogative costituzionali e segnatamente della potestà legislativa regionale in materia di commercio e di artigianato, ritiene di dover censurare anche l’art. 40 del decreto-legge in oggetto, per violazione della competenza legislativa regionale residuale, ai sensi dell’art. 117, quarto comma, Cost.</w:t>
      </w:r>
    </w:p>
    <w:p w14:paraId="53833DF7" w14:textId="77777777" w:rsidR="00AC61E0" w:rsidRPr="00AC61E0" w:rsidRDefault="00AC61E0" w:rsidP="00D72F67">
      <w:pPr>
        <w:jc w:val="both"/>
      </w:pPr>
      <w:r w:rsidRPr="00AC61E0">
        <w:t>Secondo la ricorrente sarebbe indubbio, secondo la giurisprudenza costituzionale, che la materia del commercio, cui la Regione ritiene appropriato ricondurre la disciplina delle aperture e degli orari ai fini della commercializzazione dei prodotti anche di propria produzione – analogamente comunque alla materia dell’artigianato – sia di competenza legislativa residuale regionale (sentenze </w:t>
      </w:r>
      <w:hyperlink r:id="rId4" w:history="1">
        <w:r w:rsidRPr="00AC61E0">
          <w:rPr>
            <w:rStyle w:val="Collegamentoipertestuale"/>
          </w:rPr>
          <w:t>n. 150 del 2011</w:t>
        </w:r>
      </w:hyperlink>
      <w:r w:rsidRPr="00AC61E0">
        <w:t>, </w:t>
      </w:r>
      <w:hyperlink r:id="rId5" w:history="1">
        <w:r w:rsidRPr="00AC61E0">
          <w:rPr>
            <w:rStyle w:val="Collegamentoipertestuale"/>
          </w:rPr>
          <w:t>n. 288</w:t>
        </w:r>
      </w:hyperlink>
      <w:r w:rsidRPr="00AC61E0">
        <w:t> e </w:t>
      </w:r>
      <w:hyperlink r:id="rId6" w:history="1">
        <w:r w:rsidRPr="00AC61E0">
          <w:rPr>
            <w:rStyle w:val="Collegamentoipertestuale"/>
          </w:rPr>
          <w:t>n. 247 del 2010</w:t>
        </w:r>
      </w:hyperlink>
      <w:r w:rsidRPr="00AC61E0">
        <w:t>, </w:t>
      </w:r>
      <w:hyperlink r:id="rId7" w:history="1">
        <w:r w:rsidRPr="00AC61E0">
          <w:rPr>
            <w:rStyle w:val="Collegamentoipertestuale"/>
          </w:rPr>
          <w:t>n. 350 del 2008</w:t>
        </w:r>
      </w:hyperlink>
      <w:r w:rsidRPr="00AC61E0">
        <w:t>, </w:t>
      </w:r>
      <w:hyperlink r:id="rId8" w:history="1">
        <w:r w:rsidRPr="00AC61E0">
          <w:rPr>
            <w:rStyle w:val="Collegamentoipertestuale"/>
          </w:rPr>
          <w:t>n. 430</w:t>
        </w:r>
      </w:hyperlink>
      <w:r w:rsidRPr="00AC61E0">
        <w:t>, </w:t>
      </w:r>
      <w:hyperlink r:id="rId9" w:history="1">
        <w:r w:rsidRPr="00AC61E0">
          <w:rPr>
            <w:rStyle w:val="Collegamentoipertestuale"/>
          </w:rPr>
          <w:t>n. 165</w:t>
        </w:r>
      </w:hyperlink>
      <w:r w:rsidRPr="00AC61E0">
        <w:t> e </w:t>
      </w:r>
      <w:hyperlink r:id="rId10" w:history="1">
        <w:r w:rsidRPr="00AC61E0">
          <w:rPr>
            <w:rStyle w:val="Collegamentoipertestuale"/>
          </w:rPr>
          <w:t>n. 64 del 2007</w:t>
        </w:r>
      </w:hyperlink>
      <w:r w:rsidRPr="00AC61E0">
        <w:t>, </w:t>
      </w:r>
      <w:hyperlink r:id="rId11" w:history="1">
        <w:r w:rsidRPr="00AC61E0">
          <w:rPr>
            <w:rStyle w:val="Collegamentoipertestuale"/>
          </w:rPr>
          <w:t>n. 1 del 2004</w:t>
        </w:r>
      </w:hyperlink>
      <w:r w:rsidRPr="00AC61E0">
        <w:t>; </w:t>
      </w:r>
      <w:hyperlink r:id="rId12" w:history="1">
        <w:r w:rsidRPr="00AC61E0">
          <w:rPr>
            <w:rStyle w:val="Collegamentoipertestuale"/>
          </w:rPr>
          <w:t>ordinanza n. 199 del 2006</w:t>
        </w:r>
      </w:hyperlink>
      <w:r w:rsidRPr="00AC61E0">
        <w:t>).</w:t>
      </w:r>
    </w:p>
    <w:p w14:paraId="6CED1541" w14:textId="77777777" w:rsidR="00AC61E0" w:rsidRPr="00AC61E0" w:rsidRDefault="00AC61E0" w:rsidP="00D72F67">
      <w:pPr>
        <w:jc w:val="both"/>
      </w:pPr>
      <w:r w:rsidRPr="00AC61E0">
        <w:t>Rispetto alle prerogative regionali, la tutela della concorrenza rappresenterebbe un limite «interno», da intendere in modo che non possa determinare lo svuotamento della competenza esclusiva regionale nella materia del commercio. La legislazione regionale deve certamente conformarsi ai generali obiettivi di non discriminazione fra operatori economici, di apertura al mercato e di eliminazione di barriere e vincoli al libero esplicarsi dell’attività economica, ma allo stesso tempo non le può essere negato ogni margine di intervento per modellare la disciplina concreta in modo tale da salvaguardare altri valori che pure trovano fondamento nella Carta costituzionale e nell’insieme dell’ordinamento italiano.</w:t>
      </w:r>
    </w:p>
    <w:p w14:paraId="5E555E5D" w14:textId="77777777" w:rsidR="00AC61E0" w:rsidRPr="00AC61E0" w:rsidRDefault="00AC61E0" w:rsidP="00D72F67">
      <w:pPr>
        <w:jc w:val="both"/>
      </w:pPr>
      <w:r w:rsidRPr="00AC61E0">
        <w:t>La completa liberalizzazione delle aperture domenicali e festive non perseguirebbe affatto l’obiettivo di una più efficace tutela della concorrenza, dal momento che essa determinerebbe, al contrario, il rafforzamento nel mercato delle sole aziende che per le loro maggiori dimensioni sono in grado di cogliere tale opportunità, a discapito delle imprese minori le quali, non essendo in grado di garantire una apertura continuativa, risulterebbero penalizzate e giocoforza emarginate dal mercato.</w:t>
      </w:r>
    </w:p>
    <w:p w14:paraId="0C120A74" w14:textId="77777777" w:rsidR="00AC61E0" w:rsidRPr="00AC61E0" w:rsidRDefault="00AC61E0" w:rsidP="00D72F67">
      <w:pPr>
        <w:jc w:val="both"/>
      </w:pPr>
      <w:r w:rsidRPr="00AC61E0">
        <w:t>La totale liberalizzazione delle aperture degli esercizi commerciali finirebbe col produrre effetti opposti a quelli voluti, non sarebbe adeguata e proporzionata rispetto all’obiettivo e priverebbe di qualsiasi tutela altri interessi pubblici specifici pur meritevoli anch’essi di cura.</w:t>
      </w:r>
    </w:p>
    <w:p w14:paraId="2B27B080" w14:textId="77777777" w:rsidR="00AC61E0" w:rsidRPr="00AC61E0" w:rsidRDefault="00AC61E0" w:rsidP="00D72F67">
      <w:pPr>
        <w:jc w:val="both"/>
      </w:pPr>
      <w:r w:rsidRPr="00AC61E0">
        <w:t>L’esigenza di un ragionevole contemperamento tra valori sarebbe ben presente nella giurisprudenza costituzionale (sono citate le sentenze </w:t>
      </w:r>
      <w:hyperlink r:id="rId13" w:history="1">
        <w:r w:rsidRPr="00AC61E0">
          <w:rPr>
            <w:rStyle w:val="Collegamentoipertestuale"/>
          </w:rPr>
          <w:t>n. 288 del 2010</w:t>
        </w:r>
      </w:hyperlink>
      <w:r w:rsidRPr="00AC61E0">
        <w:t> e </w:t>
      </w:r>
      <w:hyperlink r:id="rId14" w:history="1">
        <w:r w:rsidRPr="00AC61E0">
          <w:rPr>
            <w:rStyle w:val="Collegamentoipertestuale"/>
          </w:rPr>
          <w:t>n. 64 del 2007</w:t>
        </w:r>
      </w:hyperlink>
      <w:r w:rsidRPr="00AC61E0">
        <w:t>).</w:t>
      </w:r>
    </w:p>
    <w:p w14:paraId="2CAAE65C" w14:textId="77777777" w:rsidR="00AC61E0" w:rsidRPr="00AC61E0" w:rsidRDefault="00AC61E0" w:rsidP="00D72F67">
      <w:pPr>
        <w:jc w:val="both"/>
      </w:pPr>
      <w:r w:rsidRPr="00AC61E0">
        <w:t>La disposizione di legge censurata, così come formulata, nella sua assolutezza e inderogabilità, non troverebbe base giuridica legittimante né nel diritto dell’Unione, cui il tema sarebbe estraneo, né nell’art. 117, secondo comma, Cost., e violerebbe la competenza esclusiva regionale in materia di commercio attribuita dall’art. 117, quarto comma, Cost.</w:t>
      </w:r>
    </w:p>
    <w:p w14:paraId="33541251" w14:textId="77777777" w:rsidR="00AC61E0" w:rsidRPr="00AC61E0" w:rsidRDefault="00AC61E0" w:rsidP="00D72F67">
      <w:pPr>
        <w:jc w:val="both"/>
      </w:pPr>
      <w:r w:rsidRPr="00AC61E0">
        <w:t>La Regione nel ricorso riporta, a sostegno delle sue argomentazioni, ampi stralci di giurisprudenza amministrativa nella quale si fa riferimento alla pluralità dei valori coinvolti nella disciplina dei giorni ed orari di apertura e chiusura degli esercizi commerciali e dove si afferma che le norme sugli orari e sulle giornate di apertura e chiusura degli esercizi commerciali devono essere lette anche alla luce del contemperamento operato dal legislatore tra tali plurimi interessi.</w:t>
      </w:r>
    </w:p>
    <w:p w14:paraId="3B4F7E6D" w14:textId="77777777" w:rsidR="00AC61E0" w:rsidRPr="00AC61E0" w:rsidRDefault="00AC61E0" w:rsidP="00D72F67">
      <w:pPr>
        <w:jc w:val="both"/>
      </w:pPr>
      <w:r w:rsidRPr="00AC61E0">
        <w:t>1.3.– La terza norma impugnata è l’art. 41 del d.l. n. 5 del 2012 che testualmente recita: «L’attività temporanea di somministrazione di alimenti e bevande in occasione di sagre, fiere, manifestazioni religiose, tradizionali e culturali o eventi locali straordinari, è avviata previa segnalazione certificata di inizio attività priva di dichiarazioni asseverate ai sensi dell’art. 19 della legge 7 agosto 1990, n. 241, e non è soggetta al possesso dei requisiti previsti dall’art. 71 del decreto legislativo 26 marzo 2010, n. 59».</w:t>
      </w:r>
    </w:p>
    <w:p w14:paraId="73B1DCA2" w14:textId="77777777" w:rsidR="00AC61E0" w:rsidRPr="00AC61E0" w:rsidRDefault="00AC61E0" w:rsidP="00D72F67">
      <w:pPr>
        <w:jc w:val="both"/>
      </w:pPr>
      <w:r w:rsidRPr="00AC61E0">
        <w:t>Secondo la ricorrente, la disciplina dell’attività di somministrazione di alimenti e bevande, anche se relativa a situazioni temporanee e particolari, rientrerebbe nella materia del commercio, e, pertanto, l’intervento statale sarebbe lesivo della competenza legislativa residuale delle Regioni in tale materia ex art. 117, quarto comma, Cost.</w:t>
      </w:r>
    </w:p>
    <w:p w14:paraId="096A262B" w14:textId="77777777" w:rsidR="00AC61E0" w:rsidRPr="00AC61E0" w:rsidRDefault="00AC61E0" w:rsidP="00D72F67">
      <w:pPr>
        <w:jc w:val="both"/>
      </w:pPr>
      <w:r w:rsidRPr="00AC61E0">
        <w:t>La Regione Veneto precisa di aver già esercitato tale competenza, successivamente alla riforma costituzionale del 2001, con la legge regionale n. 29 del 2007, ponendo fra l’altro una regolamentazione specifica delle autorizzazioni temporanee in occasione di fiere, feste o altre riunioni straordinarie di persone, incidente sia sui requisiti che il richiedente deve soddisfare (art. 11, comma 3), che sulle modalità (art. 11, commi l e 4).</w:t>
      </w:r>
    </w:p>
    <w:p w14:paraId="48470814" w14:textId="77777777" w:rsidR="00AC61E0" w:rsidRPr="00AC61E0" w:rsidRDefault="00AC61E0" w:rsidP="00D72F67">
      <w:pPr>
        <w:jc w:val="both"/>
      </w:pPr>
      <w:r w:rsidRPr="00AC61E0">
        <w:t>La ricorrente, infine, richiama un precedente analogo, costituito dalla </w:t>
      </w:r>
      <w:hyperlink r:id="rId15" w:history="1">
        <w:r w:rsidRPr="00AC61E0">
          <w:rPr>
            <w:rStyle w:val="Collegamentoipertestuale"/>
          </w:rPr>
          <w:t>sentenza n. 1 del 2004</w:t>
        </w:r>
      </w:hyperlink>
      <w:r w:rsidRPr="00AC61E0">
        <w:t>, con la quale è stata dichiarata l’illegittimità costituzionale di una norma statale (art. 52, comma 17, legge 28 dicembre 2001, n. 448, recante «Disposizioni per la formazione del bilancio annuale e pluriennale dello Stato – legge finanziaria 2002»), che escludeva l’applicabilità della legge 11 giugno 1971, n. 426 (Disciplina del commercio), alle sagre, fiere e manifestazioni a carattere religioso, benefico o politico, per lesione della competenza riconosciuta alle regioni nella materia del commercio dall’art. 117, quarto comma, Cost.</w:t>
      </w:r>
    </w:p>
    <w:p w14:paraId="680DB38A" w14:textId="77777777" w:rsidR="00AC61E0" w:rsidRPr="00AC61E0" w:rsidRDefault="00AC61E0" w:rsidP="00D72F67">
      <w:pPr>
        <w:jc w:val="both"/>
      </w:pPr>
      <w:r w:rsidRPr="00AC61E0">
        <w:t>1.4.– Anche l’art. 50, comma 1, del d.l. n. 5 del 2012 è oggetto di impugnazione da parte della regione Veneto. Tale disposizione rimette ad un decreto del Ministro dell’istruzione, dell’università e della ricerca, di concerto con il Ministro dell’economia e delle finanze, sentita la Conferenza permanente per i rapporti tra lo Stato, le Regioni e le Province autonome di Trento e di Bolzano, l’adozione di linee guida orientate al perseguimento degli obiettivi specificati dalla norma medesima al comma 1, lettere da a) ad e).</w:t>
      </w:r>
    </w:p>
    <w:p w14:paraId="70ADB1E3" w14:textId="77777777" w:rsidR="00AC61E0" w:rsidRPr="00AC61E0" w:rsidRDefault="00AC61E0" w:rsidP="00D72F67">
      <w:pPr>
        <w:jc w:val="both"/>
      </w:pPr>
      <w:r w:rsidRPr="00AC61E0">
        <w:t>Secondo la ricorrente, benché le finalità perseguite dalla norma impugnata, in quanto afferenti alla «autonomia delle istituzioni scolastiche» e alla «ridefinizione degli organici» siano indubbiamente ascrivibili ad un ambito di competenza esclusiva statale quale è appunto quello rubricato «norme generali sull’istruzione» di cui all’art.117, secondo comma, lettera n), Cost., la disposizione in esame interferirebbe con le competenze regionali laddove si intreccia con il dimensionamento delle istituzioni scolastiche di spettanza regionale che, a propria volta, si correla necessariamente al diverso ambito di competenza residuale regionale dei «servizi sociali».</w:t>
      </w:r>
    </w:p>
    <w:p w14:paraId="528E3BDD" w14:textId="77777777" w:rsidR="00AC61E0" w:rsidRPr="00AC61E0" w:rsidRDefault="00AC61E0" w:rsidP="00D72F67">
      <w:pPr>
        <w:jc w:val="both"/>
      </w:pPr>
      <w:r w:rsidRPr="00AC61E0">
        <w:t>Per questi motivi la previsione di un mero parere in luogo della necessaria intesa, ai fini dell’emanazione del suddetto decreto, violerebbe l’art. 117, quarto comma, Cost., valutato in relazione al disposto del terzo comma e al principio di leale collaborazione, in quanto si porrebbe in contrasto con le prerogative regionali legislative esistenti in materia di dimensionamento scolastico e di servizi sociali, considerato che il mero parere non costituisce un adeguato modello di concertazione in tale ambito.</w:t>
      </w:r>
    </w:p>
    <w:p w14:paraId="359B646D" w14:textId="77777777" w:rsidR="00AC61E0" w:rsidRPr="00AC61E0" w:rsidRDefault="00AC61E0" w:rsidP="00D72F67">
      <w:pPr>
        <w:jc w:val="both"/>
      </w:pPr>
      <w:r w:rsidRPr="00AC61E0">
        <w:t>La Regione svolge un’ampia e approfondita ricostruzione sistematica del contesto normativo di riferimento osservando che, nell’alveo generico qualificato come «istruzione pubblica», esistono in realtà molteplici ambiti specifici, i cui contorni sono stati progressivamente delineati in forza di una notevolissima, intensa, attività della giurisprudenza costituzionale. In particolare – prosegue la Regione – sono state definite, sotto il profilo oggettivo, le linee di demarcazione della competenza insistente in materia e sono stati così individuati come ambiti di attribuzione regionale il dimensionamento della rete scolastica e la programmazione dell’offerta formativa. Nel ricorso si aggiunge che tale competenza deve necessariamente connettersi alla materia dei servizi sociali, particolarmente per quanto attiene alle scuole dell’infanzia, nonché alle misure di prevenzione e contrasto del disagio di particolari utenti del servizio scolastico.</w:t>
      </w:r>
    </w:p>
    <w:p w14:paraId="25688CF4" w14:textId="77777777" w:rsidR="00AC61E0" w:rsidRPr="00AC61E0" w:rsidRDefault="00AC61E0" w:rsidP="00D72F67">
      <w:pPr>
        <w:jc w:val="both"/>
      </w:pPr>
      <w:r w:rsidRPr="00AC61E0">
        <w:t>Pertanto, il contenuto del decreto ministeriale, pur riguardando espressamente gli organici delle istituzioni scolastiche e l’autonomia delle medesime, di indiscussa competenza esclusiva statale, non potrebbe collocarsi, secondo la ricorrente, in una posizione giuridica sistematicamente avulsa e distante da quella relativa alla competenza regionale in materia di dimensionamento della rete scolastica di cui si è detto.</w:t>
      </w:r>
    </w:p>
    <w:p w14:paraId="36F440F0" w14:textId="77777777" w:rsidR="00AC61E0" w:rsidRPr="00AC61E0" w:rsidRDefault="00AC61E0" w:rsidP="00D72F67">
      <w:pPr>
        <w:jc w:val="both"/>
      </w:pPr>
      <w:r w:rsidRPr="00AC61E0">
        <w:t>In tale prospettiva, la definizione degli organici delle istituzioni scolastiche sembrerebbe costituire il presupposto indefettibile affinché la Regione sia posta nelle condizioni effettive, e non meramente virtuali, di programmare l’apertura e la chiusura delle istituzioni scolastiche, nonché gli eventuali accorpamenti.</w:t>
      </w:r>
    </w:p>
    <w:p w14:paraId="536BF7ED" w14:textId="77777777" w:rsidR="00AC61E0" w:rsidRPr="00AC61E0" w:rsidRDefault="00AC61E0" w:rsidP="00D72F67">
      <w:pPr>
        <w:jc w:val="both"/>
      </w:pPr>
      <w:r w:rsidRPr="00AC61E0">
        <w:t>La ricorrente richiama, a tal proposito, la decisione n. 34 del 2005, con la quale si è precisato che il dimensionamento della rete delle istituzioni scolastiche è un ambito di spettanza regionale, nonché quelle n. 92 del 2011 e n. 200 del 2009.</w:t>
      </w:r>
    </w:p>
    <w:p w14:paraId="70131689" w14:textId="77777777" w:rsidR="00AC61E0" w:rsidRPr="00AC61E0" w:rsidRDefault="00AC61E0" w:rsidP="00D72F67">
      <w:pPr>
        <w:jc w:val="both"/>
      </w:pPr>
      <w:r w:rsidRPr="00AC61E0">
        <w:t>La norma impugnata nel ridefinire un «organico dell’autonomia», assegnerebbe a tale locuzione la funzione di indicatore della sussistenza di quei requisiti essenziali del soggetto giuridico indispensabili per il conseguimento ed il correlativo riconoscimento di quella differenziazione amministrativa che trova la propria legittimazione nella capacità autosufficiente di funzionamento in una logica complessiva di gestione ottimale delle risorse.</w:t>
      </w:r>
    </w:p>
    <w:p w14:paraId="27548500" w14:textId="77777777" w:rsidR="00AC61E0" w:rsidRPr="00AC61E0" w:rsidRDefault="00AC61E0" w:rsidP="00D72F67">
      <w:pPr>
        <w:jc w:val="both"/>
      </w:pPr>
      <w:r w:rsidRPr="00AC61E0">
        <w:t>La disposizione impugnata introdurrebbe, inoltre, un sistema di definizione riferito non più esclusivamente «alla singola istituzione scolastica» bensì alla «rete delle istituzioni», strutturata in base a criteri e parametri del dimensionamento scolastico.</w:t>
      </w:r>
    </w:p>
    <w:p w14:paraId="707F14F5" w14:textId="77777777" w:rsidR="00AC61E0" w:rsidRPr="00AC61E0" w:rsidRDefault="00AC61E0" w:rsidP="00D72F67">
      <w:pPr>
        <w:jc w:val="both"/>
      </w:pPr>
      <w:r w:rsidRPr="00AC61E0">
        <w:t>In altri termini, lo Stato, nel disciplinare l’organico dell’autonomia, per un verso differenzierebbe tra «singola istituzione scolastica» (art. 50, comma 1, lettera b) e «rete delle istituzioni» (art. 50, comma 1, lettera c), assoggettando la seconda e non la prima ad un’intesa obbligatoria da raggiungere in Conferenza Unificata; per altro verso, disporrebbe che alla costituzione degli organici di entrambe (art. 50, comma 1, lettera e) si possa procedere, con il medesimo decreto, solo sentita la Conferenza Stato-Regioni, così interferendo con il dimensionamento della rete scolastica, e ledendo la potestà legislativa della Regione sussistente in detto ambito, seppure connessa alla potestà legislativa statale sul personale scolastico, con simultanea violazione del principio di leale cooperazione di cui all’art. 120 Cost.</w:t>
      </w:r>
    </w:p>
    <w:p w14:paraId="5653F18A" w14:textId="77777777" w:rsidR="00AC61E0" w:rsidRPr="00AC61E0" w:rsidRDefault="00AC61E0" w:rsidP="00D72F67">
      <w:pPr>
        <w:jc w:val="both"/>
      </w:pPr>
      <w:r w:rsidRPr="00AC61E0">
        <w:t>Infatti, nelle more dell’emanazione di una compiuta legislazione regionale al riguardo, lo Stato – per la Regione – non può ridefinire gli organici per un periodo triennale, in assenza di un adeguato coinvolgimento delle Regioni che si troverebbero esautorate delle proprie competenze, potendo solo esprimere un mero parere con evidenti effetti compromissori e limitativi della propria potestà legislativa.</w:t>
      </w:r>
    </w:p>
    <w:p w14:paraId="6D6622C2" w14:textId="77777777" w:rsidR="00AC61E0" w:rsidRPr="00AC61E0" w:rsidRDefault="00AC61E0" w:rsidP="00D72F67">
      <w:pPr>
        <w:jc w:val="both"/>
      </w:pPr>
      <w:r w:rsidRPr="00AC61E0">
        <w:t>Nella specie, non sembrerebbe potersi negare – sempre ad avviso della ricorrente – che il dimensionamento scolastico produca un decisivo impatto sul sistema regionale delle reti scolastiche, come già strutturato in attuazione dell’esercizio della pluralità di funzioni conferite dal decreto legislativo 31 marzo 1998, n. 112 (Conferimento di funzioni e compiti amministrativi dello Stato alle regioni ed agli enti locali, in attuazione del capo I della legge 15 marzo 1997, n. 59), nonché su una serie di funzioni regionali relative al governo del territorio, per quanto attiene all’edilizia scolastica, alla formazione professionale ed alla programmazione dell’offerta formativa.</w:t>
      </w:r>
    </w:p>
    <w:p w14:paraId="02504E56" w14:textId="77777777" w:rsidR="00AC61E0" w:rsidRPr="00AC61E0" w:rsidRDefault="00AC61E0" w:rsidP="00D72F67">
      <w:pPr>
        <w:jc w:val="both"/>
      </w:pPr>
      <w:r w:rsidRPr="00AC61E0">
        <w:t>La Regione riconosce la competenza statale a legiferare in materia di personale scolastico, docente e non docente, trattandosi, appunto, di personale direttamente ed immediatamente dipendente dal Ministero competente, così come la funzione concernente la ripartizione di detto personale, ma ritiene non possa negarsi che debba essere assicurato il pieno coinvolgimento regionale, attraverso lo strumento dell’intesa, proprio per l’interferenza che tale profilo presenta con quello della potestà legislativa regionale.</w:t>
      </w:r>
    </w:p>
    <w:p w14:paraId="5DD9F568" w14:textId="77777777" w:rsidR="00AC61E0" w:rsidRPr="00AC61E0" w:rsidRDefault="00AC61E0" w:rsidP="00D72F67">
      <w:pPr>
        <w:jc w:val="both"/>
      </w:pPr>
      <w:r w:rsidRPr="00AC61E0">
        <w:t>La ricorrente soggiunge che, anche considerando che l’obiettivo perseguito dallo Stato consiste nel progressivo dimensionamento della rete scolastica, programmato in una prospettiva di medio/lungo termine, non possono da questo essere adottati atti normativi che incidano sulle attribuzioni regionali sussistenti in ordine a tale profilo, soprattutto in relazione agli interventi finalizzati alla riduzione del disagio di particolari utenti, laddove tale particolare aspetto, pure presente nel contesto del dimensionamento della rete scolastica, appartiene però all’ambito della legislazione esclusiva regionale in materia di servizi sociali.</w:t>
      </w:r>
    </w:p>
    <w:p w14:paraId="0DA89185" w14:textId="77777777" w:rsidR="00AC61E0" w:rsidRPr="00AC61E0" w:rsidRDefault="00AC61E0" w:rsidP="00D72F67">
      <w:pPr>
        <w:jc w:val="both"/>
      </w:pPr>
      <w:r w:rsidRPr="00AC61E0">
        <w:t>1.5.– La Regione Veneto impugna anche l’art. 53, comma 7, del d.l. n. 5 del 2012 recante «Modernizzazione del patrimonio immobiliare scolastico e riduzione dei consumi e miglioramento dell’efficienza degli usi finali di energia», nella parte in cui prevede l’adozione di un decreto del Ministro dell’istruzione, dell’università e della ricerca, di concerto con il Ministro delle infrastrutture e dei trasporti e con il Ministro dell’ambiente e della tutela del territorio e del mare, sentita la Conferenza unificata di cui all’art. 8 del decreto legislativo 28 agosto 1997, n. 281 (Definizione ed ampliamento delle attribuzioni della Conferenza permanente per i rapporti tra lo Stato, le regioni e le province autonome di Trento e Bolzano ed unificazione, per le materie ed i compiti di interesse comune delle regioni, delle province e dei comuni, con la Conferenza Stato-città ed autonomie locali), finalizzato a determinare le norme tecniche-quadro, contenenti gli indici minimi e massimi di funzionalità urbanistica, edilizia, anche riferite alle tecnologie in materia di efficienza e risparmio energetico e produzione da fonti energetiche rinnovabili, nonché didattica, indispensabili a garantire indirizzi progettuali adeguati ed omogenei sul territorio nazionale.</w:t>
      </w:r>
    </w:p>
    <w:p w14:paraId="16E353AA" w14:textId="77777777" w:rsidR="00AC61E0" w:rsidRPr="00AC61E0" w:rsidRDefault="00AC61E0" w:rsidP="00D72F67">
      <w:pPr>
        <w:jc w:val="both"/>
      </w:pPr>
      <w:r w:rsidRPr="00AC61E0">
        <w:t>Secondo la ricorrente, la norma violerebbe il principio di leale collaborazione di cui all’art. 120 Cost. perché il decreto deve essere emanato senza il necessario coinvolgimento delle Regioni, ma solo con il parere in conferenza unificata, e non è prescritta la necessaria intesa.</w:t>
      </w:r>
    </w:p>
    <w:p w14:paraId="2A0D6B03" w14:textId="77777777" w:rsidR="00AC61E0" w:rsidRPr="00AC61E0" w:rsidRDefault="00AC61E0" w:rsidP="00D72F67">
      <w:pPr>
        <w:jc w:val="both"/>
      </w:pPr>
      <w:r w:rsidRPr="00AC61E0">
        <w:t>Inoltre, non esistendo una materia relativa ai «lavori pubblici», la competenza legislativa si determinerebbe in relazione all’oggetto dei lavori, cioè alla tipologia dell’opera pubblica che può afferire a settori riconducibili a materie sia di competenza esclusiva statale, sia di competenza concorrente, sia di competenza residuale regionale.</w:t>
      </w:r>
    </w:p>
    <w:p w14:paraId="5FCF2C27" w14:textId="77777777" w:rsidR="00AC61E0" w:rsidRPr="00AC61E0" w:rsidRDefault="00AC61E0" w:rsidP="00D72F67">
      <w:pPr>
        <w:jc w:val="both"/>
      </w:pPr>
      <w:r w:rsidRPr="00AC61E0">
        <w:t>La Regione richiama anche l’art. 3 della legge 11 gennaio 1996, n. 23 (Norme per l’edilizia scolastica), che individua, quali soggetti giuridici pubblici competenti alla realizzazione degli edifici scolastici, i Comuni e le Province, secondo un riparto ancorato alla destinazione dell’edificio nel quale la Regione è titolare anche di specifiche funzioni amministrative, riconducibili all’alveo dell’art. 118 Cost., di natura programmatoria dell’edilizia scolastica e consistenti nel potere di adottare piani annuali e triennali, predisposti ed approvati in conformità alle istanze provenienti dagli enti territoriali minori.</w:t>
      </w:r>
    </w:p>
    <w:p w14:paraId="29DDBABF" w14:textId="77777777" w:rsidR="00AC61E0" w:rsidRPr="00AC61E0" w:rsidRDefault="00AC61E0" w:rsidP="00D72F67">
      <w:pPr>
        <w:jc w:val="both"/>
      </w:pPr>
      <w:r w:rsidRPr="00AC61E0">
        <w:t>Pertanto la disposizione impugnata si configurerebbe certamente lesiva del principio di leale collaborazione, laddove la predisposizione di norme tecniche, anche in tale settore, interferirebbe tanto con attribuzioni regionali, quanto con funzioni amministrative esercitabili dalle Regioni, atteso che l’esercizio delle funzioni di cui si tratta è stato ripartito in vari livelli di governo.</w:t>
      </w:r>
    </w:p>
    <w:p w14:paraId="3A51FE6A" w14:textId="77777777" w:rsidR="00AC61E0" w:rsidRPr="00AC61E0" w:rsidRDefault="00AC61E0" w:rsidP="00D72F67">
      <w:pPr>
        <w:jc w:val="both"/>
      </w:pPr>
      <w:r w:rsidRPr="00AC61E0">
        <w:t>Nel ricorso si afferma che l’art. 5 della legge n. 23 del 1996 prevede che le Regioni approvino specifiche norme tecniche per la progettazione esecutiva degli interventi, definendo, in particolare, indici diversificati in ragione della specificità dei centri storici e delle aree metropolitane e, per l’effetto, assegna inequivocabilmente alle Regioni funzioni non solamente pianificatorie ma anche di legislazione di dettaglio di natura concretamente «tecnica».</w:t>
      </w:r>
    </w:p>
    <w:p w14:paraId="7699F7DB" w14:textId="77777777" w:rsidR="00AC61E0" w:rsidRPr="00AC61E0" w:rsidRDefault="00AC61E0" w:rsidP="00D72F67">
      <w:pPr>
        <w:jc w:val="both"/>
      </w:pPr>
      <w:r w:rsidRPr="00AC61E0">
        <w:t>Per queste ragioni, ai fini dell’emanazione del decreto, il parere previsto dalla norma impugnata dovrebbe essere sostituito, secondo la Regione, con la più corretta ed adeguata previsione dell’intesa, da raggiungere in sede di Conferenza Unificata.</w:t>
      </w:r>
    </w:p>
    <w:p w14:paraId="0BC6741D" w14:textId="77777777" w:rsidR="00AC61E0" w:rsidRPr="00AC61E0" w:rsidRDefault="00AC61E0" w:rsidP="00D72F67">
      <w:pPr>
        <w:jc w:val="both"/>
      </w:pPr>
      <w:r w:rsidRPr="00AC61E0">
        <w:t>Viene dedotto che, anche qualora si reputasse ammissibile, in tale ambito, invocare, a fondamento dell’intervento normativo statale, prevalenti ragioni di sicurezza ed incolumità pubblica, in ogni caso non potrebbe non ritenersi violato il principio della leale collaborazione, di cui all’art. 120 Cost., che postula appunto il coinvolgimento regionale. Da ultimo, in riferimento all’esercizio delle funzioni di tipo amministrativo, viene rammentato che già con il d.lgs. n. 112 del 1998 lo Stato si era riservato la predisposizione di norme tecniche nazionali concernenti le costruzioni in zone sismiche, subordinando però l’esercizio concreto di tale funzione alla preventiva intesa in sede di Conferenza Unificata.</w:t>
      </w:r>
    </w:p>
    <w:p w14:paraId="57613135" w14:textId="77777777" w:rsidR="00AC61E0" w:rsidRPr="00AC61E0" w:rsidRDefault="00AC61E0" w:rsidP="00D72F67">
      <w:pPr>
        <w:jc w:val="both"/>
      </w:pPr>
      <w:r w:rsidRPr="00AC61E0">
        <w:t>1.6.– Infine la Regione Veneto impugna l’art. 60, comma 1, del d.l. n. 5 del 2012 concernente la proroga del programma «carta acquisti» per violazione dell’art. 117, quarto comma, e dell’art. 120 Cost., in riferimento al principio di leale collaborazione.</w:t>
      </w:r>
    </w:p>
    <w:p w14:paraId="46A9B2B1" w14:textId="77777777" w:rsidR="00AC61E0" w:rsidRPr="00AC61E0" w:rsidRDefault="00AC61E0" w:rsidP="00D72F67">
      <w:pPr>
        <w:jc w:val="both"/>
      </w:pPr>
      <w:r w:rsidRPr="00AC61E0">
        <w:t>In particolare, secondo la ricorrente, il comma 1 del citato art. 60 si porrebbe in contrasto con l’art.117, quarto comma, Cost., che riserva alla competenza legislativa residuale della Regione la materia dei servizi sociali e di assistenza, e con l’art. 119 Cost., che vieta allo Stato di prevedere finanziamenti a destinazione vincolata in ambiti di competenza regionale residuale o concorrente, mentre il comma 2 violerebbe il principio di leale collaborazione, nella parte in cui non prevede il necessario coinvolgimento delle regioni nell’emanazione del citato decreto.</w:t>
      </w:r>
    </w:p>
    <w:p w14:paraId="7739147A" w14:textId="77777777" w:rsidR="00AC61E0" w:rsidRPr="00AC61E0" w:rsidRDefault="00AC61E0" w:rsidP="00D72F67">
      <w:pPr>
        <w:jc w:val="both"/>
      </w:pPr>
      <w:r w:rsidRPr="00AC61E0">
        <w:t>La ricorrente rammenta che l’art. 81, comma 32, del d.l. n. 112 del 2008, cui la disposizione investita dal presente ricorso fa rinvio, ha istituito la carta acquisti, «in considerazione delle straordinarie tensioni cui sono sottoposti i prezzi dei generi alimentari e il costo delle bollette energetiche, nonché il costo per la fornitura di gas da privati, al fine di soccorrere le fasce deboli di popolazione in stato di particolare bisogno».</w:t>
      </w:r>
    </w:p>
    <w:p w14:paraId="63D386E7" w14:textId="77777777" w:rsidR="00AC61E0" w:rsidRPr="00AC61E0" w:rsidRDefault="00AC61E0" w:rsidP="00D72F67">
      <w:pPr>
        <w:jc w:val="both"/>
      </w:pPr>
      <w:r w:rsidRPr="00AC61E0">
        <w:t>Tale norma era stata impugnata da varie regioni, con ricorsi che questa Corte aveva giudicato infondati con la </w:t>
      </w:r>
      <w:hyperlink r:id="rId16" w:history="1">
        <w:r w:rsidRPr="00AC61E0">
          <w:rPr>
            <w:rStyle w:val="Collegamentoipertestuale"/>
          </w:rPr>
          <w:t>sentenza n. 10 del 2010</w:t>
        </w:r>
      </w:hyperlink>
      <w:r w:rsidRPr="00AC61E0">
        <w:t>. Secondo la Regione, le motivazioni della </w:t>
      </w:r>
      <w:hyperlink r:id="rId17" w:history="1">
        <w:r w:rsidRPr="00AC61E0">
          <w:rPr>
            <w:rStyle w:val="Collegamentoipertestuale"/>
          </w:rPr>
          <w:t>sentenza n. 10 del 2010</w:t>
        </w:r>
      </w:hyperlink>
      <w:r w:rsidRPr="00AC61E0">
        <w:t>, potrebbero essere utilmente applicate, con effetti diametralmente opposti, anche alla disposizione impugnata, in quanto nel percorso argomentativo seguito dalla Corte, la previsione e la diretta erogazione di una determinata provvidenza da parte dello Stato è stata ritenuta ammissibile solo «quando ciò sia reso imprescindibile da peculiari circostanze e situazioni, quale una fase di congiuntura economica eccezionalmente negativa». Conseguentemente, la presenza di tali «peculiari situazioni» sembra costituire la condizione di legittimità costituzionale di un intervento diretto da parte dello Stato che investa una materia, come nel caso di specie, di competenza regionale.</w:t>
      </w:r>
    </w:p>
    <w:p w14:paraId="44EB2C0D" w14:textId="77777777" w:rsidR="00AC61E0" w:rsidRPr="00AC61E0" w:rsidRDefault="00AC61E0" w:rsidP="00D72F67">
      <w:pPr>
        <w:jc w:val="both"/>
      </w:pPr>
      <w:r w:rsidRPr="00AC61E0">
        <w:t>In altri termini, ad avviso della Regione, se è sulla situazione eccezionale di crisi che si fonda la legittimità dell’art. 81 del d.l. n. 112 del 2008, non sembrerebbe che la medesima situazione di eccezionalità possa giustificare l’emanazione della norma oggetto del ricorso. Infatti, stante l’innegabile lasso di tempo intercorso, seppure in un contesto generale di non risolta crisi internazionale, tra la disposizione di cui all’art. 81, comma 32, del d.l. n. 112 del 2008 citato, istitutiva del Fondo e della carta acquisti, e quella di cui all’art. 60 del d.l. n. 5 del 2012, non viene ritenuta ammissibile la reiterazione di una misura che aveva trovato la propria legittimazione nell’eccezionalità temporalmente circoscritta.</w:t>
      </w:r>
    </w:p>
    <w:p w14:paraId="0D05CA4A" w14:textId="77777777" w:rsidR="00AC61E0" w:rsidRPr="00AC61E0" w:rsidRDefault="00AC61E0" w:rsidP="00D72F67">
      <w:pPr>
        <w:jc w:val="both"/>
      </w:pPr>
      <w:r w:rsidRPr="00AC61E0">
        <w:t>Dal tenore letterale della disposizione risulterebbe poi, inequivocabilmente, che la pretesa sperimentazione, destinata a cessare decorsi dodici mesi, si pone in realtà in termini anticipatori di quella che è dichiaratamente destinata a divenire una misura strutturale, dovendosene valutare «la possibile generalizzazione come strumento di contrasto alla povertà assoluta».</w:t>
      </w:r>
    </w:p>
    <w:p w14:paraId="322E2B03" w14:textId="77777777" w:rsidR="00AC61E0" w:rsidRPr="00AC61E0" w:rsidRDefault="00AC61E0" w:rsidP="00D72F67">
      <w:pPr>
        <w:jc w:val="both"/>
      </w:pPr>
      <w:r w:rsidRPr="00AC61E0">
        <w:t>Quanto al comma 2 dell’art. 60, sarebbe violato il principio di leale collaborazione, nella parte in cui la citata disposizione non prevede il coinvolgimento delle regioni nell’emanazione del decreto del Ministro del lavoro e delle politiche sociali, da adottarsi di concerto con il Ministro dell’economia e delle finanze.</w:t>
      </w:r>
    </w:p>
    <w:p w14:paraId="3034D96C" w14:textId="77777777" w:rsidR="00AC61E0" w:rsidRPr="00AC61E0" w:rsidRDefault="00AC61E0" w:rsidP="00D72F67">
      <w:pPr>
        <w:jc w:val="both"/>
      </w:pPr>
      <w:r w:rsidRPr="00AC61E0">
        <w:t>Anche a tale proposito, nel ricorso, si rinvia alla </w:t>
      </w:r>
      <w:hyperlink r:id="rId18" w:history="1">
        <w:r w:rsidRPr="00AC61E0">
          <w:rPr>
            <w:rStyle w:val="Collegamentoipertestuale"/>
          </w:rPr>
          <w:t>sentenza n. 10 del 2010</w:t>
        </w:r>
      </w:hyperlink>
      <w:r w:rsidRPr="00AC61E0">
        <w:t>, nella parte in cui, ponendo a fondamento dell’intervento – significativamente realizzato con decreto-legge e in corso d’anno – le straordinarie tensioni cui sono sottoposti i prezzi dei generi alimentari e il costo delle bollette energetiche e della fornitura di gas da privati, induce a ritenere che, al di fuori degli interventi straordinariamente consentiti per circostanze eccezionali, l’attività istituzionale concertativa possa e debba essere correttamente ripresa.</w:t>
      </w:r>
    </w:p>
    <w:p w14:paraId="7685DB13" w14:textId="77777777" w:rsidR="00AC61E0" w:rsidRPr="00AC61E0" w:rsidRDefault="00AC61E0" w:rsidP="00D72F67">
      <w:pPr>
        <w:jc w:val="both"/>
      </w:pPr>
      <w:r w:rsidRPr="00AC61E0">
        <w:t>2.– In data 13 luglio 2012 si è costituito il Presidente del Consiglio dei ministri rappresentato e difeso dall’Avvocatura dello Stato concludendo nel senso dell’inammissibilità o dell’infondatezza delle questioni sollevate dalla Regione Veneto.</w:t>
      </w:r>
    </w:p>
    <w:p w14:paraId="083255C0" w14:textId="77777777" w:rsidR="00AC61E0" w:rsidRPr="00AC61E0" w:rsidRDefault="00AC61E0" w:rsidP="00D72F67">
      <w:pPr>
        <w:jc w:val="both"/>
      </w:pPr>
      <w:r w:rsidRPr="00AC61E0">
        <w:t>2.1.– Con riferimento alla prima questione, l’Avvocatura dello Stato evidenzia che l’art. 29 del d.l. n. 5 del 2012 si colloca in un contesto di disposizioni volte a dare concreta attuazione ai regolamenti comunitari che hanno riformato il settore dello zucchero, al fine di renderlo adeguato agli impegni giuridici e politici assunti dall’Unione europea a livello internazionale. Si tratta, pertanto, di disposizioni coerenti con quanto previsto dall’art. 117, primo comma, Cost., che impone allo Stato e alle Regioni il rispetto dei vincoli derivanti dall’ordinamento comunitario e dagli obblighi internazionali.</w:t>
      </w:r>
    </w:p>
    <w:p w14:paraId="0E106552" w14:textId="77777777" w:rsidR="00AC61E0" w:rsidRPr="00AC61E0" w:rsidRDefault="00AC61E0" w:rsidP="00D72F67">
      <w:pPr>
        <w:jc w:val="both"/>
      </w:pPr>
      <w:r w:rsidRPr="00AC61E0">
        <w:t>In particolare, la norma impugnata, nel disporre che i progetti di riconversione del comparto bieticolo-saccarifero, realizzati ai sensi dell’art. 2, comma 3, del d.l. n. 2 del 2006, rivestono «carattere di interesse nazionale», anche ai fini della definizione e del perfezionamento dei processi autorizzativi e dell’effettiva entrata in esercizio, si porrebbe l’obiettivo di rendere esecutiva la riforma comunitaria nel settore in esame.</w:t>
      </w:r>
    </w:p>
    <w:p w14:paraId="260BA19B" w14:textId="77777777" w:rsidR="00AC61E0" w:rsidRPr="00AC61E0" w:rsidRDefault="00AC61E0" w:rsidP="00D72F67">
      <w:pPr>
        <w:jc w:val="both"/>
      </w:pPr>
      <w:r w:rsidRPr="00AC61E0">
        <w:t>In ogni caso, non sussisterebbe alcuna violazione dei richiamati principi costituzionali, in quanto le «norme idonee nel quadro delle competenze amministrative regionali atte a garantire l’esecutività dei progetti suddetti» verranno disposte dal citato Comitato interministeriale, nella cui composizione rientrano anche tre Presidenti di regione designati dalla Conferenza Stato-Regioni, nel rispetto proprio del principio di leale collaborazione.</w:t>
      </w:r>
    </w:p>
    <w:p w14:paraId="27436E3C" w14:textId="77777777" w:rsidR="00AC61E0" w:rsidRPr="00AC61E0" w:rsidRDefault="00AC61E0" w:rsidP="00D72F67">
      <w:pPr>
        <w:jc w:val="both"/>
      </w:pPr>
      <w:r w:rsidRPr="00AC61E0">
        <w:t>2.2.– Per quanto riguarda l’art. 40 del d.l. n. 5 del 2012, secondo l’Avvocatura dello Stato la norma rientrerebbe nell’esercizio della competenza esclusiva dello Stato in materia di tutela della concorrenza.</w:t>
      </w:r>
    </w:p>
    <w:p w14:paraId="60E8ACBE" w14:textId="77777777" w:rsidR="00AC61E0" w:rsidRPr="00AC61E0" w:rsidRDefault="00AC61E0" w:rsidP="00D72F67">
      <w:pPr>
        <w:jc w:val="both"/>
      </w:pPr>
      <w:r w:rsidRPr="00AC61E0">
        <w:t>La difesa statale cita la giurisprudenza costituzionale con la quale si è ritenuto che, poiché la promozione della concorrenza ha portata generale o trasversale, può accadere che una misura che abbia una valenza pro-competitiva, vada, legittimamente, ad incidere su materie attribuite alla competenza legislativa residuale o concorrente delle Regioni.</w:t>
      </w:r>
    </w:p>
    <w:p w14:paraId="5937D0A9" w14:textId="77777777" w:rsidR="00AC61E0" w:rsidRPr="00AC61E0" w:rsidRDefault="00AC61E0" w:rsidP="00D72F67">
      <w:pPr>
        <w:jc w:val="both"/>
      </w:pPr>
      <w:r w:rsidRPr="00AC61E0">
        <w:t>Infatti, l’espressione tutela della concorrenza utilizzata dal legislatore costituzionale, coerentemente con quella operante nell’ordinamento comunitario, comprende, tra le altre fattispecie, gli interventi regolatori che a titolo principale incidono sulla concorrenza, quali: le misure legislative di tutela in senso proprio, che hanno ad oggetto gli atti ed i comportamenti delle imprese che incidono negativamente sull’assetto concorrenziale dei mercati e ne disciplinano le modalità di controllo, eventualmente anche di sanzione; le misure legislative di promozione, che mirano ad aprire un mercato o a consolidarne l’apertura, eliminando barriere all’entrata, riducendo o eliminando vincoli al libero esplicarsi della capacità imprenditoriale e della competizione tra imprese, in generale i vincoli alle modalità di esercizio delle attività economiche (è citata la </w:t>
      </w:r>
      <w:hyperlink r:id="rId19" w:history="1">
        <w:r w:rsidRPr="00AC61E0">
          <w:rPr>
            <w:rStyle w:val="Collegamentoipertestuale"/>
          </w:rPr>
          <w:t>sentenza n. 430 del 2007</w:t>
        </w:r>
      </w:hyperlink>
      <w:r w:rsidRPr="00AC61E0">
        <w:t>).</w:t>
      </w:r>
    </w:p>
    <w:p w14:paraId="4D4CC2DA" w14:textId="77777777" w:rsidR="00AC61E0" w:rsidRPr="00AC61E0" w:rsidRDefault="00AC61E0" w:rsidP="00D72F67">
      <w:pPr>
        <w:jc w:val="both"/>
      </w:pPr>
      <w:r w:rsidRPr="00AC61E0">
        <w:t>Pertanto, per accertare se determinate disposizioni possano essere ricondotte alla materia «tutela della concorrenza», si deve verificare – continua il resistente – «se le norme adottate dallo Stato siano essenzialmente finalizzate a garantire la concorrenza fra i diversi soggetti del mercato (cfr. </w:t>
      </w:r>
      <w:hyperlink r:id="rId20" w:history="1">
        <w:r w:rsidRPr="00AC61E0">
          <w:rPr>
            <w:rStyle w:val="Collegamentoipertestuale"/>
          </w:rPr>
          <w:t>sent. n. 285/2005</w:t>
        </w:r>
      </w:hyperlink>
      <w:r w:rsidRPr="00AC61E0">
        <w:t>), allo scopo di accertarne la coerenza rispetto all’obiettivo di assicurare un mercato aperto e in libera concorrenza».</w:t>
      </w:r>
    </w:p>
    <w:p w14:paraId="14DC0EC6" w14:textId="77777777" w:rsidR="00AC61E0" w:rsidRPr="00AC61E0" w:rsidRDefault="00AC61E0" w:rsidP="00D72F67">
      <w:pPr>
        <w:jc w:val="both"/>
      </w:pPr>
      <w:r w:rsidRPr="00AC61E0">
        <w:t>Tale verifica condurrebbe ad esito positivo in quanto l’intento perseguito con la soppressione del vincolo in materia di chiusura domenicale e festiva per le imprese di panificazione è proprio quello di «favorire l’apertura del mercato alla concorrenza» garantendo i mercati ed i soggetti che in essi operano e a tali norme dovrebbe essere riconosciuto quell’effetto di ampliare «l’area di libera scelta sia dei cittadini che delle imprese».</w:t>
      </w:r>
    </w:p>
    <w:p w14:paraId="592F72C8" w14:textId="77777777" w:rsidR="00AC61E0" w:rsidRPr="00AC61E0" w:rsidRDefault="00AC61E0" w:rsidP="00D72F67">
      <w:pPr>
        <w:jc w:val="both"/>
      </w:pPr>
      <w:r w:rsidRPr="00AC61E0">
        <w:t>Secondo la difesa statale, dunque, sussisterebbero le condizioni per la qualificazione della norma nell’ambito della materia «tutela della concorrenza».</w:t>
      </w:r>
    </w:p>
    <w:p w14:paraId="0C534CFC" w14:textId="77777777" w:rsidR="00AC61E0" w:rsidRPr="00AC61E0" w:rsidRDefault="00AC61E0" w:rsidP="00D72F67">
      <w:pPr>
        <w:jc w:val="both"/>
      </w:pPr>
      <w:r w:rsidRPr="00AC61E0">
        <w:t>2.3.– In relazione alla censura relativa all’art. 41 del d.l. n. 5 del 2012 recante «semplificazioni in materia di alimenti e bevande», preliminarmente l’Avvocatura dello Stato evidenzia che la Regione Veneto fa riferimento alla stesura originaria dell’articolo nonostante che nel corso dell’iter legislativo di conversione la norma sia stata oggetto di rilevanti modifiche.</w:t>
      </w:r>
    </w:p>
    <w:p w14:paraId="72BD095B" w14:textId="77777777" w:rsidR="00AC61E0" w:rsidRPr="00AC61E0" w:rsidRDefault="00AC61E0" w:rsidP="00D72F67">
      <w:pPr>
        <w:jc w:val="both"/>
      </w:pPr>
      <w:r w:rsidRPr="00AC61E0">
        <w:t>In particolare, la nuova formulazione prevede che «L’attività temporanea di somministrazione di alimenti e bevande in occasione di sagre, fiere, manifestazioni religiose, tradizionali e culturali o eventi locali straordinari, è avviata previa segnalazione certificata di inizio attività priva di dichiarazioni asseverate ai sensi dell’articolo 19 della legge 7 agosto 1990, n. 241, e non è soggetta al possesso dei requisiti previsti dal comma 6 dell’articolo 71 del decreto legislativo 26 marzo 2010, n. 59». Ne consegue, per la difesa dello Stato, che i requisiti non più richiesti, per l’esercizio dell’attività temporanea di somministrazione di alimenti e bevande, sono solo quelli di cui al citato art. 71, comma 6, ovvero i «requisiti professionali».</w:t>
      </w:r>
    </w:p>
    <w:p w14:paraId="591CCF89" w14:textId="77777777" w:rsidR="00AC61E0" w:rsidRPr="00AC61E0" w:rsidRDefault="00AC61E0" w:rsidP="00D72F67">
      <w:pPr>
        <w:jc w:val="both"/>
      </w:pPr>
      <w:r w:rsidRPr="00AC61E0">
        <w:t>Ciò premesso, l’Avvocatura dello Stato ritiene che la disposizione in esame si inserisca nell’ambito degli interventi pro-concorrenziali di competenza esclusiva dello Stato ai sensi dell’art. 117, secondo comma, lettera e), Cost. nel solco delle direttive di liberalizzazione intraprese dal Governo in attuazione anche della direttiva 2006/123/CE, relativa ai servizi nel mercato interno.</w:t>
      </w:r>
    </w:p>
    <w:p w14:paraId="41528EC4" w14:textId="77777777" w:rsidR="00AC61E0" w:rsidRPr="00AC61E0" w:rsidRDefault="00AC61E0" w:rsidP="00D72F67">
      <w:pPr>
        <w:jc w:val="both"/>
      </w:pPr>
      <w:r w:rsidRPr="00AC61E0">
        <w:t>Inoltre, la stessa disposizione, nel semplificare gli adempimenti necessari per la somministrazione temporanea di alimenti e bevande, si collocherebbe in un quadro di norme volte a ridurre l’incidenza degli oneri amministrativi sul fatturato, anche al fine di favorire l’avvio dell’attività economica, a fronte della crescente crisi internazionale e dei costi della burocrazia sempre più gravosi per le imprese.</w:t>
      </w:r>
    </w:p>
    <w:p w14:paraId="173BC06F" w14:textId="77777777" w:rsidR="00AC61E0" w:rsidRPr="00AC61E0" w:rsidRDefault="00AC61E0" w:rsidP="00D72F67">
      <w:pPr>
        <w:jc w:val="both"/>
      </w:pPr>
      <w:r w:rsidRPr="00AC61E0">
        <w:t>Si tratterebbe, dunque, di norme coerenti con il principio costituzionale di libertà dell’iniziativa economica di cui all’art. 41 Cost., che legittima il legislatore nazionale a porre in essere gli interventi ritenuti più opportuni per il coordinamento dell’attività economica pubblica o privata a fini sociali e per favorire la crescita dell’economia nazionale.</w:t>
      </w:r>
    </w:p>
    <w:p w14:paraId="6A5223E2" w14:textId="77777777" w:rsidR="00AC61E0" w:rsidRPr="00AC61E0" w:rsidRDefault="00AC61E0" w:rsidP="00D72F67">
      <w:pPr>
        <w:jc w:val="both"/>
      </w:pPr>
      <w:r w:rsidRPr="00AC61E0">
        <w:t>2.4.– Con riferimento alla censura relativa all’art. 50 del d.l. n. 5 del 2012, la difesa statale evidenzia che, al contrario di quanto sostenuto dalla ricorrente, la norma in questione non inciderebbe sulle prerogative regionali, essendo finalizzata a consolidare e sviluppare l’autonomia delle istituzioni scolastiche, potenziandone l’autonomia gestionale secondo criteri di flessibilità e valorizzando la responsabilità e la professionalità del personale della scuola.</w:t>
      </w:r>
    </w:p>
    <w:p w14:paraId="6C3792D4" w14:textId="77777777" w:rsidR="00AC61E0" w:rsidRPr="00AC61E0" w:rsidRDefault="00AC61E0" w:rsidP="00D72F67">
      <w:pPr>
        <w:jc w:val="both"/>
      </w:pPr>
      <w:r w:rsidRPr="00AC61E0">
        <w:t>La difesa statale richiama la </w:t>
      </w:r>
      <w:hyperlink r:id="rId21" w:history="1">
        <w:r w:rsidRPr="00AC61E0">
          <w:rPr>
            <w:rStyle w:val="Collegamentoipertestuale"/>
          </w:rPr>
          <w:t>sentenza n. 147 del 2012</w:t>
        </w:r>
      </w:hyperlink>
      <w:r w:rsidRPr="00AC61E0">
        <w:t>, ove si è affermato che compete allo Stato definire i requisiti che connotano l’autonomia scolastica, per gli aspetti concernenti le modalità di regolamentazione e il grado di autonomia delle istituzioni rispetto alle amministrazioni, sia statale che regionale. Inoltre, la medesima sentenza, nel dichiarare la legittimità costituzionale di disposizioni volte a ridurre il numero dei dirigenti scolastici attraverso nuovi criteri per la loro assegnazione nella copertura dei posti di dirigenza, ha definito chiaramente il riparto di competenze tra Stato e Regioni in materia di organici delle istituzioni scolastiche. Infatti, le norme, come quella in esame, concernenti gli organici delle istituzioni scolastiche – costituiti da dipendenti pubblici statali e non regionali, come risulta sia dal loro reclutamento che dal loro complessivo status giuridico – rientrano nella competenza esclusiva statale di cui all’art. 117, secondo comma, lettera g), Cost. (ordinamento e organizzazione amministrativa dello Stato e degli enti pubblici nazionali), assumendo un peso prevalente rispetto alla competenza concorrente prevista in materia di istruzione dal medesimo art. 117, terzo comma, Cost.</w:t>
      </w:r>
    </w:p>
    <w:p w14:paraId="2B08C747" w14:textId="77777777" w:rsidR="00AC61E0" w:rsidRPr="00AC61E0" w:rsidRDefault="00AC61E0" w:rsidP="00D72F67">
      <w:pPr>
        <w:jc w:val="both"/>
      </w:pPr>
      <w:r w:rsidRPr="00AC61E0">
        <w:t>2.5.– Quanto al censurato art. 53, comma 7, il resistente afferma che esso sarebbe da collocare nell’ambito delle previsioni dirette a ridurre gli oneri per le imprese, migliorarne la competitività e semplificare gli adempimenti, assicurando anche la coerenza con gli standard comunitari. Si tratterebbe, dunque, di disposizioni coerenti con quanto previsto dall’art. 117. primo comma, Cost. che impone allo Stato e alle Regioni il rispetto dei vincoli derivanti dall’ordinamento comunitario e dagli obblighi internazionali. Peraltro, del tutto insussistente sarebbe la dedotta violazione del principio di leale collaborazione, dal momento che il decreto del Ministro dell’istruzione, dell’università e della ricerca dovrà essere adottato previo parere della Conferenza unificata.</w:t>
      </w:r>
    </w:p>
    <w:p w14:paraId="0AD1B6CD" w14:textId="77777777" w:rsidR="00AC61E0" w:rsidRPr="00AC61E0" w:rsidRDefault="00AC61E0" w:rsidP="00D72F67">
      <w:pPr>
        <w:jc w:val="both"/>
      </w:pPr>
      <w:r w:rsidRPr="00AC61E0">
        <w:t>2.6.– L’ultima delle norme impugnate dalla Regione Veneto è l’art. 60 del d.l. n. 5 del 2012.</w:t>
      </w:r>
    </w:p>
    <w:p w14:paraId="2A5E9F4E" w14:textId="77777777" w:rsidR="00AC61E0" w:rsidRPr="00AC61E0" w:rsidRDefault="00AC61E0" w:rsidP="00D72F67">
      <w:pPr>
        <w:jc w:val="both"/>
      </w:pPr>
      <w:r w:rsidRPr="00AC61E0">
        <w:t>L’Avvocatura dello Stato ritiene che la nuova previsione legislativa non differisce nella sostanza da quanto stabilito con l’art. 81, comma 29 e seguenti, del d.l. n. 112 del 2008, quanto a contesto e finalità, e che non vi è alcun mutamento della natura dello strumento introdotto, ma solo un tentativo di collocarlo in un più vasto contesto di collaborazione interistituzionale con i comuni. Inoltre, rileva che la situazione di crisi finanziaria posta a base della normativa sulla social card purtroppo non è cessata e solo al termine della fase di sperimentazione, unitamente all’auspicata cessazione della situazione di emergenza, si potranno recuperare gli strumenti concertativi.</w:t>
      </w:r>
    </w:p>
    <w:p w14:paraId="0B123C18" w14:textId="77777777" w:rsidR="00AC61E0" w:rsidRPr="00AC61E0" w:rsidRDefault="00AC61E0" w:rsidP="00D72F67">
      <w:pPr>
        <w:jc w:val="both"/>
      </w:pPr>
      <w:r w:rsidRPr="00AC61E0">
        <w:t>Conclude nel senso che l’attribuzione allo Stato della competenza esclusiva in materia di «determinazione dei livelli essenziali delle prestazioni concernenti i diritti civili e sociali che devono essere garantiti su tutto il territorio nazionale» di cui all’art. 117, secondo comma, lettera m), Cost., deve intendersi riferita alla fissazione dei livelli strutturali e qualitativi di prestazioni che, riguardando il soddisfacimento di diritti civili e sociali, devono essere garantiti, con carattere di generalità, a tutti gli aventi diritto. Si tratterebbe, quindi, di una competenza trasversale, idonea ad investire tutte le materie, rispetto alle quali il legislatore statale deve poter predisporre le misure necessarie per attribuire a tutti i destinatari sull’intero territorio nazionale il godimento di prestazioni garantite che costituiscono il contenuto essenziale di tali diritti, senza che la legislazione regionale possa limitarle o condizionarle.</w:t>
      </w:r>
    </w:p>
    <w:p w14:paraId="55982681" w14:textId="77777777" w:rsidR="00AC61E0" w:rsidRPr="00AC61E0" w:rsidRDefault="00AC61E0" w:rsidP="00D72F67">
      <w:pPr>
        <w:jc w:val="both"/>
      </w:pPr>
      <w:r w:rsidRPr="00AC61E0">
        <w:t>Siffatto parametro costituzionale consentirebbe, quindi, una restrizione dell’autonomia legislativa delle Regioni, giustificata dallo scopo di assicurare un livello uniforme di godimento dei diritti civili e sociali tutelati dalla stessa Costituzione.</w:t>
      </w:r>
    </w:p>
    <w:p w14:paraId="490A0F22" w14:textId="77777777" w:rsidR="00AC61E0" w:rsidRPr="00AC61E0" w:rsidRDefault="00AC61E0" w:rsidP="00D72F67">
      <w:pPr>
        <w:jc w:val="both"/>
      </w:pPr>
      <w:r w:rsidRPr="00AC61E0">
        <w:t>3.– In prossimità dell’udienza la Regione ha presentato una memoria con la quale ha ribadito le ragioni a sostegno della illegittimità costituzionale della norme impugnate.</w:t>
      </w:r>
    </w:p>
    <w:p w14:paraId="21F37740" w14:textId="77777777" w:rsidR="00AC61E0" w:rsidRPr="00AC61E0" w:rsidRDefault="00AC61E0" w:rsidP="00D72F67">
      <w:pPr>
        <w:jc w:val="both"/>
      </w:pPr>
      <w:bookmarkStart w:id="1" w:name="diritto"/>
      <w:bookmarkEnd w:id="1"/>
      <w:r w:rsidRPr="00AC61E0">
        <w:rPr>
          <w:i/>
          <w:iCs/>
        </w:rPr>
        <w:t>Considerato in diritto</w:t>
      </w:r>
    </w:p>
    <w:p w14:paraId="14329B4F" w14:textId="77777777" w:rsidR="00AC61E0" w:rsidRPr="00D72F67" w:rsidRDefault="00AC61E0" w:rsidP="00D72F67">
      <w:pPr>
        <w:jc w:val="both"/>
        <w:rPr>
          <w:b/>
          <w:bCs/>
        </w:rPr>
      </w:pPr>
      <w:r w:rsidRPr="00D72F67">
        <w:rPr>
          <w:b/>
          <w:bCs/>
        </w:rPr>
        <w:t>1.– La Regione Veneto ha sollevato, in via principale, questioni di legittimità costituzionale aventi ad oggetto, tra gli altri, gli articoli 29, 40, 41, 50, comma 1, 53, comma 7, e 60 del decreto-legge 9 febbraio 2012, n. 5 (Disposizioni urgenti in materia di semplificazione e di sviluppo), convertito, con modificazioni, dalla legge 4 aprile 2012, n. 35, in riferimento agli articoli 117, quarto comma, 118 e 120 della Costituzione, in relazione al principio di leale collaborazione tra Stato e Regioni.</w:t>
      </w:r>
    </w:p>
    <w:p w14:paraId="747CDCFE" w14:textId="33749A96" w:rsidR="00AC61E0" w:rsidRPr="00D72F67" w:rsidRDefault="00D72F67" w:rsidP="00D72F67">
      <w:pPr>
        <w:jc w:val="both"/>
        <w:rPr>
          <w:b/>
          <w:bCs/>
        </w:rPr>
      </w:pPr>
      <w:r w:rsidRPr="00D72F67">
        <w:rPr>
          <w:b/>
          <w:bCs/>
        </w:rPr>
        <w:t>[…]</w:t>
      </w:r>
    </w:p>
    <w:p w14:paraId="7536FE6C" w14:textId="77777777" w:rsidR="00AC61E0" w:rsidRPr="00D72F67" w:rsidRDefault="00AC61E0" w:rsidP="00D72F67">
      <w:pPr>
        <w:jc w:val="both"/>
        <w:rPr>
          <w:b/>
          <w:bCs/>
        </w:rPr>
      </w:pPr>
      <w:r w:rsidRPr="00D72F67">
        <w:rPr>
          <w:b/>
          <w:bCs/>
        </w:rPr>
        <w:t xml:space="preserve">1.2.– L’art. 29 è impugnato nella parte in cui prevede, con riferimento ai progetti di riconversione del comparto bieticolo-saccarifero, che «Entro trenta giorni dalla data di entrata in vigore del presente decreto, </w:t>
      </w:r>
      <w:r w:rsidRPr="00D72F67">
        <w:rPr>
          <w:b/>
          <w:bCs/>
          <w:color w:val="EE0000"/>
          <w:u w:val="single"/>
        </w:rPr>
        <w:t>il Comitato interministeriale di cui al comma 1 dispone le norme idonee</w:t>
      </w:r>
      <w:r w:rsidRPr="00D72F67">
        <w:rPr>
          <w:b/>
          <w:bCs/>
          <w:color w:val="EE0000"/>
        </w:rPr>
        <w:t xml:space="preserve"> </w:t>
      </w:r>
      <w:r w:rsidRPr="00D72F67">
        <w:rPr>
          <w:b/>
          <w:bCs/>
        </w:rPr>
        <w:t xml:space="preserve">nel quadro delle competenze amministrative regionali atte a garantire l’esecutività dei progetti suddetti, nomina, nei casi di particolare necessità, ai sensi dell’articolo 20 del decreto-legge 29 novembre 2008, n. 185, convertito, con modificazioni, dalla legge 28 gennaio 2009, n. 2, un commissario ad acta per l’attuazione degli accordi definiti in sede regionale con coordinamento del Comitato interministeriale». Secondo la Regione Veneto, la citata disposizione viola gli artt. 117, quarto comma, e 120 Cost., in quanto </w:t>
      </w:r>
      <w:r w:rsidRPr="00D72F67">
        <w:rPr>
          <w:b/>
          <w:bCs/>
          <w:u w:val="single"/>
        </w:rPr>
        <w:t>la produzione saccarifera rientra nella materia agricoltura</w:t>
      </w:r>
      <w:r w:rsidRPr="00D72F67">
        <w:rPr>
          <w:b/>
          <w:bCs/>
        </w:rPr>
        <w:t xml:space="preserve"> e </w:t>
      </w:r>
      <w:r w:rsidRPr="00D72F67">
        <w:rPr>
          <w:b/>
          <w:bCs/>
          <w:u w:val="single"/>
        </w:rPr>
        <w:t>spetta alle regioni la conclusione e l’attuazione degli accordi di ristrutturazione nel quadro del programma nazionale</w:t>
      </w:r>
      <w:r w:rsidRPr="00D72F67">
        <w:rPr>
          <w:b/>
          <w:bCs/>
        </w:rPr>
        <w:t>.</w:t>
      </w:r>
    </w:p>
    <w:p w14:paraId="59CB62B4" w14:textId="77777777" w:rsidR="00AC61E0" w:rsidRPr="00D72F67" w:rsidRDefault="00AC61E0" w:rsidP="00D72F67">
      <w:pPr>
        <w:jc w:val="both"/>
        <w:rPr>
          <w:b/>
          <w:bCs/>
        </w:rPr>
      </w:pPr>
      <w:r w:rsidRPr="00AC61E0">
        <w:t>1</w:t>
      </w:r>
      <w:r w:rsidRPr="00D72F67">
        <w:rPr>
          <w:b/>
          <w:bCs/>
        </w:rPr>
        <w:t>.3.– La questione è fondata.</w:t>
      </w:r>
    </w:p>
    <w:p w14:paraId="6A967BC3" w14:textId="77777777" w:rsidR="00AC61E0" w:rsidRPr="00D72F67" w:rsidRDefault="00AC61E0" w:rsidP="00D72F67">
      <w:pPr>
        <w:jc w:val="both"/>
        <w:rPr>
          <w:b/>
          <w:bCs/>
        </w:rPr>
      </w:pPr>
      <w:r w:rsidRPr="00D72F67">
        <w:rPr>
          <w:b/>
          <w:bCs/>
        </w:rPr>
        <w:t>Al fine di fronteggiare la grave crisi del settore bieticolo-saccarifero è stato approvato dapprima il regolamento CE n. 320/2006 del Consiglio, del 20 febbraio 2006 (relativo a un regime temporaneo per la ristrutturazione dell’industria dello zucchero nella Comunità europea, che modifica il regolamento CE n. 1290/2005 relativo al funzionamento della politica agricola comune) e, successivamente, il decreto-legge 10 gennaio 2006, n. 2 (Interventi urgenti per i settori dell’agricoltura, dell’agroindustria, della pesca, nonché in materia di fiscalità d’impresa), convertito, con modificazioni, dalla legge 11 marzo 2006, n. 81. Con tali disposizioni si è intesa regolare la ristrutturazione dell’industria dello zucchero nella Comunità prevedendo misure di sostegno al settore e di riconversione delle attività relative alla coltivazione e alla produzione.</w:t>
      </w:r>
    </w:p>
    <w:p w14:paraId="2A16E905" w14:textId="77777777" w:rsidR="00AC61E0" w:rsidRPr="00D72F67" w:rsidRDefault="00AC61E0" w:rsidP="00D72F67">
      <w:pPr>
        <w:jc w:val="both"/>
        <w:rPr>
          <w:b/>
          <w:bCs/>
        </w:rPr>
      </w:pPr>
      <w:r w:rsidRPr="00D72F67">
        <w:rPr>
          <w:b/>
          <w:bCs/>
        </w:rPr>
        <w:t>In particolare, il d.l. n. 2 del 2006 ha istituito un Comitato interministeriale composto dal Presidente del Consiglio dei ministri, dal Ministro delle politiche agricole e forestali, dal Ministro dell’economia e delle finanze, dal Ministro delle attività produttive, dal Ministro del lavoro e delle politiche sociali, dal Ministro per le politiche comunitarie e dal Ministro dell’ambiente e della tutela del territorio nonché da tre Presidenti di regione designati dalla Conferenza permanente per i rapporti tra lo Stato, le regioni e le province autonome di Trento e di Bolzano con il compito di: a) approvare il piano per la razionalizzazione e la riconversione della produzione bieticolo-saccarifera; b) coordinare le misure comunitarie e nazionali previste per la riconversione industriale del settore e per le connesse problematiche sociali; c) formulare direttive per l’approvazione dei progetti di riconversione.</w:t>
      </w:r>
    </w:p>
    <w:p w14:paraId="4BF61DFC" w14:textId="77777777" w:rsidR="00AC61E0" w:rsidRPr="00D72F67" w:rsidRDefault="00AC61E0" w:rsidP="00D72F67">
      <w:pPr>
        <w:jc w:val="both"/>
        <w:rPr>
          <w:b/>
          <w:bCs/>
        </w:rPr>
      </w:pPr>
      <w:r w:rsidRPr="00D72F67">
        <w:rPr>
          <w:b/>
          <w:bCs/>
        </w:rPr>
        <w:t xml:space="preserve">Le imprese saccarifere, ai sensi dell’art. 2, comma 3, del citato decreto-legge, </w:t>
      </w:r>
      <w:r w:rsidRPr="00D72F67">
        <w:rPr>
          <w:b/>
          <w:bCs/>
          <w:u w:val="single"/>
        </w:rPr>
        <w:t>dovevano presentare al Ministero delle politiche agricole e forestali un progetto di riconversione per ciascuno degli impianti industriali, ove era prevista la cessazione della produzione di zucchero</w:t>
      </w:r>
      <w:r w:rsidRPr="00D72F67">
        <w:rPr>
          <w:b/>
          <w:bCs/>
        </w:rPr>
        <w:t>. I progetti di riconversione, finalizzati anche alla salvaguardia dell’occupazione nel territorio oggetto dell’intervento, dovevano essere approvati dal Ministero delle politiche agricole e forestali.</w:t>
      </w:r>
    </w:p>
    <w:p w14:paraId="3BE93D17" w14:textId="77777777" w:rsidR="00AC61E0" w:rsidRPr="00D72F67" w:rsidRDefault="00AC61E0" w:rsidP="00D72F67">
      <w:pPr>
        <w:jc w:val="both"/>
        <w:rPr>
          <w:i/>
          <w:iCs/>
        </w:rPr>
      </w:pPr>
      <w:r w:rsidRPr="00D72F67">
        <w:rPr>
          <w:i/>
          <w:iCs/>
        </w:rPr>
        <w:t>Il comma 1 dell’art. 29 del d.l. n. 5 del 2012 prevede che i progetti di riconversione già approvati dal comitato interministeriale di cui sopra «rivestono carattere di interesse nazionale anche ai fini della definizione e del perfezionamento dei processi autorizzativi e dell’effettiva entrata in esercizio».</w:t>
      </w:r>
    </w:p>
    <w:p w14:paraId="7DD96E73" w14:textId="77777777" w:rsidR="00AC61E0" w:rsidRPr="00D72F67" w:rsidRDefault="00AC61E0" w:rsidP="00D72F67">
      <w:pPr>
        <w:jc w:val="both"/>
        <w:rPr>
          <w:i/>
          <w:iCs/>
        </w:rPr>
      </w:pPr>
      <w:r w:rsidRPr="00D72F67">
        <w:rPr>
          <w:i/>
          <w:iCs/>
        </w:rPr>
        <w:t>Il comma 2, oggetto di impugnazione, prevede, come già detto, che entro trenta giorni dalla data di entrata in vigore del decreto, il Comitato interministeriale di cui al comma 1 «dispone le norme idonee nel quadro delle competenze amministrative regionali atte a garantire l’esecutività dei progetti suddetti, nomina, nei casi di particolare necessità, ai sensi dell’articolo 20 del decreto-legge 29 novembre 2008, n. 185, convertito, con modificazioni, dalla legge 28 gennaio 2009, n. 2, un commissario ad acta per l’attuazione degli accordi definiti in sede regionale con coordinamento del Comitato interministeriale».</w:t>
      </w:r>
    </w:p>
    <w:p w14:paraId="196F1C7A" w14:textId="77777777" w:rsidR="00AC61E0" w:rsidRPr="00AC61E0" w:rsidRDefault="00AC61E0" w:rsidP="00D72F67">
      <w:pPr>
        <w:jc w:val="both"/>
      </w:pPr>
      <w:r w:rsidRPr="00D72F67">
        <w:rPr>
          <w:b/>
          <w:bCs/>
        </w:rPr>
        <w:t>Dalla lettura della norma non è agevole ricavare la natura dei compiti affidati al comitato interministeriale in base alla locuzione «dispone norme idonee nel quadro delle competenze amministrative regionali atte a garantire l’esecutività dei suddetti progetti», cioè se si tratti di una potestà regolamentare o dell’attribuzione di funzioni amministrative</w:t>
      </w:r>
      <w:r w:rsidRPr="00AC61E0">
        <w:t>.</w:t>
      </w:r>
    </w:p>
    <w:p w14:paraId="56A440F9" w14:textId="77777777" w:rsidR="00AC61E0" w:rsidRPr="00347A03" w:rsidRDefault="00AC61E0" w:rsidP="00D72F67">
      <w:pPr>
        <w:jc w:val="both"/>
        <w:rPr>
          <w:b/>
          <w:bCs/>
        </w:rPr>
      </w:pPr>
      <w:r w:rsidRPr="00347A03">
        <w:rPr>
          <w:b/>
          <w:bCs/>
        </w:rPr>
        <w:t>L’art. 29 in esame deve essere ascritto alla materia agricoltura riservata alla competenza legislativa residuale delle Regioni: ne consegue che la norma viene a porsi in contrasto con l’art. 117 Cost. tanto se la si interpreti come attributiva di un potere regolamentare, quanto amministrativo.</w:t>
      </w:r>
    </w:p>
    <w:p w14:paraId="765D6353" w14:textId="77777777" w:rsidR="00AC61E0" w:rsidRPr="00AC61E0" w:rsidRDefault="00AC61E0" w:rsidP="00D72F67">
      <w:pPr>
        <w:jc w:val="both"/>
      </w:pPr>
      <w:r w:rsidRPr="00347A03">
        <w:rPr>
          <w:b/>
          <w:bCs/>
          <w:color w:val="EE0000"/>
        </w:rPr>
        <w:t>Nel primo caso sarebbe pacificamente violato l’art. 117, sesto comma, Cost</w:t>
      </w:r>
      <w:r w:rsidRPr="00347A03">
        <w:rPr>
          <w:b/>
          <w:bCs/>
        </w:rPr>
        <w:t>. trattandosi di una materia riservata alla competenza legislativa residuale delle regioni</w:t>
      </w:r>
      <w:r w:rsidRPr="00AC61E0">
        <w:t>.</w:t>
      </w:r>
    </w:p>
    <w:p w14:paraId="77B8634E" w14:textId="77777777" w:rsidR="00AC61E0" w:rsidRPr="00AC61E0" w:rsidRDefault="00AC61E0" w:rsidP="00D72F67">
      <w:pPr>
        <w:jc w:val="both"/>
      </w:pPr>
      <w:r w:rsidRPr="00347A03">
        <w:rPr>
          <w:b/>
          <w:bCs/>
        </w:rPr>
        <w:t xml:space="preserve">Nel secondo, invece, si dovrebbe ipotizzare una </w:t>
      </w:r>
      <w:r w:rsidRPr="00347A03">
        <w:rPr>
          <w:b/>
          <w:bCs/>
          <w:u w:val="single"/>
        </w:rPr>
        <w:t>chiamata in sussidiarietà</w:t>
      </w:r>
      <w:r w:rsidRPr="00347A03">
        <w:rPr>
          <w:b/>
          <w:bCs/>
        </w:rPr>
        <w:t xml:space="preserve"> da parte dello Stato per assicurare il perseguimento di interessi unitari che sarebbero compromessi dall’inerzia o dall’inadempimento da parte del livello di governo inferiore</w:t>
      </w:r>
      <w:r w:rsidRPr="00AC61E0">
        <w:t>.</w:t>
      </w:r>
    </w:p>
    <w:p w14:paraId="1F19B4C8" w14:textId="6724E303" w:rsidR="00347A03" w:rsidRDefault="00347A03" w:rsidP="00D72F67">
      <w:pPr>
        <w:jc w:val="both"/>
        <w:rPr>
          <w:b/>
          <w:bCs/>
        </w:rPr>
      </w:pPr>
      <w:r>
        <w:rPr>
          <w:b/>
          <w:bCs/>
        </w:rPr>
        <w:t>[…]</w:t>
      </w:r>
    </w:p>
    <w:p w14:paraId="1AF96C2D" w14:textId="5EA5F0F4" w:rsidR="00AC61E0" w:rsidRPr="00347A03" w:rsidRDefault="00AC61E0" w:rsidP="00D72F67">
      <w:pPr>
        <w:jc w:val="both"/>
        <w:rPr>
          <w:b/>
          <w:bCs/>
        </w:rPr>
      </w:pPr>
      <w:r w:rsidRPr="00347A03">
        <w:rPr>
          <w:b/>
          <w:bCs/>
        </w:rPr>
        <w:t>Tuttavia nei casi in cui vi sia uno spostamento di competenze amministrative a seguito di attrazione in sussidiarietà, questa Corte ha escluso che possa essere previsto un potere sostitutivo, dovendosi ritenere che la leale collaborazione, necessaria in tale evenienza, non possa essere sostituita puramente e semplicemente da un atto unilaterale dello Stato (sentenze </w:t>
      </w:r>
      <w:hyperlink r:id="rId22" w:history="1">
        <w:r w:rsidRPr="00347A03">
          <w:rPr>
            <w:rStyle w:val="Collegamentoipertestuale"/>
            <w:b/>
            <w:bCs/>
          </w:rPr>
          <w:t>n. 165 del 2011</w:t>
        </w:r>
      </w:hyperlink>
      <w:r w:rsidRPr="00347A03">
        <w:rPr>
          <w:b/>
          <w:bCs/>
        </w:rPr>
        <w:t> e </w:t>
      </w:r>
      <w:hyperlink r:id="rId23" w:history="1">
        <w:r w:rsidRPr="00347A03">
          <w:rPr>
            <w:rStyle w:val="Collegamentoipertestuale"/>
            <w:b/>
            <w:bCs/>
          </w:rPr>
          <w:t>n. 383 del 2005</w:t>
        </w:r>
      </w:hyperlink>
      <w:r w:rsidRPr="00347A03">
        <w:rPr>
          <w:b/>
          <w:bCs/>
        </w:rPr>
        <w:t>).</w:t>
      </w:r>
    </w:p>
    <w:p w14:paraId="7F66D5C6" w14:textId="77777777" w:rsidR="00347A03" w:rsidRDefault="00347A03" w:rsidP="00D72F67">
      <w:pPr>
        <w:jc w:val="both"/>
      </w:pPr>
      <w:bookmarkStart w:id="2" w:name="dispositivo"/>
      <w:bookmarkEnd w:id="2"/>
    </w:p>
    <w:p w14:paraId="3F76D5B1" w14:textId="0D25D4F1" w:rsidR="00AC61E0" w:rsidRPr="00AC61E0" w:rsidRDefault="00AC61E0" w:rsidP="00D72F67">
      <w:pPr>
        <w:jc w:val="both"/>
      </w:pPr>
      <w:r w:rsidRPr="00AC61E0">
        <w:t>per questi motivi</w:t>
      </w:r>
    </w:p>
    <w:p w14:paraId="4CF0C9FB" w14:textId="77777777" w:rsidR="00AC61E0" w:rsidRPr="00AC61E0" w:rsidRDefault="00AC61E0" w:rsidP="00D72F67">
      <w:pPr>
        <w:jc w:val="both"/>
      </w:pPr>
      <w:r w:rsidRPr="00AC61E0">
        <w:t>LA CORTE COSTITUZIONALE</w:t>
      </w:r>
    </w:p>
    <w:p w14:paraId="4C81847D" w14:textId="77777777" w:rsidR="00AC61E0" w:rsidRPr="00AC61E0" w:rsidRDefault="00AC61E0" w:rsidP="00D72F67">
      <w:pPr>
        <w:jc w:val="both"/>
      </w:pPr>
      <w:r w:rsidRPr="00AC61E0">
        <w:t>riservata a separate pronunce ogni decisione sulle ulteriori questioni di legittimità costituzionale aventi ad oggetto altre disposizioni del decreto-legge 9 febbraio 2012, n. 5 (Disposizioni urgenti in materia di semplificazione e di sviluppo), convertito, con modificazioni, dalla legge 4 aprile 2012, n. 35, promosse dalla Regione Veneto con il ricorso indicato in epigrafe;</w:t>
      </w:r>
    </w:p>
    <w:p w14:paraId="1FC4953D" w14:textId="77777777" w:rsidR="00AC61E0" w:rsidRPr="00AC61E0" w:rsidRDefault="00AC61E0" w:rsidP="00D72F67">
      <w:pPr>
        <w:jc w:val="both"/>
      </w:pPr>
      <w:r w:rsidRPr="00AC61E0">
        <w:t>1) </w:t>
      </w:r>
      <w:r w:rsidRPr="00AC61E0">
        <w:rPr>
          <w:i/>
          <w:iCs/>
        </w:rPr>
        <w:t>dichiara</w:t>
      </w:r>
      <w:r w:rsidRPr="00AC61E0">
        <w:t> l’illegittimità costituzionale dell’articolo 29, comma 2, del suddetto decreto-legge n. 5 del 2012;</w:t>
      </w:r>
    </w:p>
    <w:p w14:paraId="539E193B" w14:textId="77777777" w:rsidR="00AC61E0" w:rsidRPr="00AC61E0" w:rsidRDefault="00AC61E0" w:rsidP="00D72F67">
      <w:pPr>
        <w:jc w:val="both"/>
      </w:pPr>
      <w:r w:rsidRPr="00AC61E0">
        <w:t>2) </w:t>
      </w:r>
      <w:r w:rsidRPr="00AC61E0">
        <w:rPr>
          <w:i/>
          <w:iCs/>
        </w:rPr>
        <w:t>dichiara</w:t>
      </w:r>
      <w:r w:rsidRPr="00AC61E0">
        <w:t> inammissibile la questione di legittimità costituzionale dell’art. 40 del decreto-legge n. 5 del 2012, promossa dalla Regione Veneto, in riferimento all’art. 117, quarto comma, della Costituzione, con il ricorso indicato in epigrafe;</w:t>
      </w:r>
    </w:p>
    <w:p w14:paraId="733ABEA1" w14:textId="77777777" w:rsidR="00AC61E0" w:rsidRPr="00AC61E0" w:rsidRDefault="00AC61E0" w:rsidP="00D72F67">
      <w:pPr>
        <w:jc w:val="both"/>
      </w:pPr>
      <w:r w:rsidRPr="00AC61E0">
        <w:t>3) </w:t>
      </w:r>
      <w:r w:rsidRPr="00AC61E0">
        <w:rPr>
          <w:i/>
          <w:iCs/>
        </w:rPr>
        <w:t>dichiara</w:t>
      </w:r>
      <w:r w:rsidRPr="00AC61E0">
        <w:t> non fondate le questioni di legittimità costituzionale degli artt. 41, 50, comma 1, 53, comma 7, 60, commi 1 e 2, del decreto-legge n. 5 del 2012 promosse dalla Regione Veneto, in riferimento agli artt. 117, terzo e quarto comma, Cost. e al principio di leale collaborazione, con il ricorso indicato in epigrafe.</w:t>
      </w:r>
    </w:p>
    <w:p w14:paraId="2FB00A4B" w14:textId="77777777" w:rsidR="00AC61E0" w:rsidRPr="00AC61E0" w:rsidRDefault="00AC61E0" w:rsidP="00D72F67">
      <w:pPr>
        <w:jc w:val="both"/>
      </w:pPr>
      <w:r w:rsidRPr="00AC61E0">
        <w:t>Così deciso in Roma, nella sede della Corte costituzionale, Palazzo della Consulta, il 26 marzo 2013.</w:t>
      </w:r>
    </w:p>
    <w:p w14:paraId="0F87B6FE" w14:textId="77777777" w:rsidR="00AC61E0" w:rsidRPr="00AC61E0" w:rsidRDefault="00AC61E0" w:rsidP="00D72F67">
      <w:pPr>
        <w:jc w:val="both"/>
      </w:pPr>
      <w:r w:rsidRPr="00AC61E0">
        <w:t>F.to:</w:t>
      </w:r>
    </w:p>
    <w:p w14:paraId="6483D649" w14:textId="77777777" w:rsidR="00AC61E0" w:rsidRPr="00AC61E0" w:rsidRDefault="00AC61E0" w:rsidP="00D72F67">
      <w:pPr>
        <w:jc w:val="both"/>
      </w:pPr>
      <w:r w:rsidRPr="00AC61E0">
        <w:t>Franco GALLO, Presidente</w:t>
      </w:r>
    </w:p>
    <w:p w14:paraId="30C08836" w14:textId="77777777" w:rsidR="00AC61E0" w:rsidRPr="00AC61E0" w:rsidRDefault="00AC61E0" w:rsidP="00D72F67">
      <w:pPr>
        <w:jc w:val="both"/>
      </w:pPr>
      <w:r w:rsidRPr="00AC61E0">
        <w:t>Paolo Maria NAPOLITANO, Redattore</w:t>
      </w:r>
    </w:p>
    <w:p w14:paraId="6536435A" w14:textId="77777777" w:rsidR="00AC61E0" w:rsidRPr="00AC61E0" w:rsidRDefault="00AC61E0" w:rsidP="00D72F67">
      <w:pPr>
        <w:jc w:val="both"/>
      </w:pPr>
      <w:r w:rsidRPr="00AC61E0">
        <w:t>Gabriella MELATTI, Cancelliere</w:t>
      </w:r>
    </w:p>
    <w:p w14:paraId="6DC2B553" w14:textId="77777777" w:rsidR="00AC61E0" w:rsidRPr="00AC61E0" w:rsidRDefault="00AC61E0" w:rsidP="00D72F67">
      <w:pPr>
        <w:jc w:val="both"/>
      </w:pPr>
      <w:r w:rsidRPr="00AC61E0">
        <w:t>Depositata in Cancelleria il 5 aprile 2013.</w:t>
      </w:r>
    </w:p>
    <w:p w14:paraId="61B324FD" w14:textId="77777777" w:rsidR="00AC61E0" w:rsidRPr="00AC61E0" w:rsidRDefault="00AC61E0" w:rsidP="00D72F67">
      <w:pPr>
        <w:jc w:val="both"/>
      </w:pPr>
      <w:r w:rsidRPr="00AC61E0">
        <w:t> </w:t>
      </w:r>
    </w:p>
    <w:p w14:paraId="3716C53A" w14:textId="77777777" w:rsidR="00B50B1F" w:rsidRDefault="00B50B1F" w:rsidP="00D72F67">
      <w:pPr>
        <w:jc w:val="both"/>
      </w:pPr>
    </w:p>
    <w:sectPr w:rsidR="00B50B1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08"/>
  <w:hyphenationZone w:val="283"/>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2D35"/>
    <w:rsid w:val="00347A03"/>
    <w:rsid w:val="0084361A"/>
    <w:rsid w:val="008B5264"/>
    <w:rsid w:val="00982D35"/>
    <w:rsid w:val="00AC61E0"/>
    <w:rsid w:val="00B50B1F"/>
    <w:rsid w:val="00D72F6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F87D40"/>
  <w15:chartTrackingRefBased/>
  <w15:docId w15:val="{20E2D4F7-20ED-4300-AC74-3EAB80B6B3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982D3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982D3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982D35"/>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982D35"/>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982D35"/>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982D35"/>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982D35"/>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982D35"/>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982D35"/>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82D35"/>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982D35"/>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982D35"/>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982D35"/>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982D35"/>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982D35"/>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982D35"/>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982D35"/>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982D35"/>
    <w:rPr>
      <w:rFonts w:eastAsiaTheme="majorEastAsia" w:cstheme="majorBidi"/>
      <w:color w:val="272727" w:themeColor="text1" w:themeTint="D8"/>
    </w:rPr>
  </w:style>
  <w:style w:type="paragraph" w:styleId="Titolo">
    <w:name w:val="Title"/>
    <w:basedOn w:val="Normale"/>
    <w:next w:val="Normale"/>
    <w:link w:val="TitoloCarattere"/>
    <w:uiPriority w:val="10"/>
    <w:qFormat/>
    <w:rsid w:val="00982D3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982D35"/>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982D35"/>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982D35"/>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982D35"/>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982D35"/>
    <w:rPr>
      <w:i/>
      <w:iCs/>
      <w:color w:val="404040" w:themeColor="text1" w:themeTint="BF"/>
    </w:rPr>
  </w:style>
  <w:style w:type="paragraph" w:styleId="Paragrafoelenco">
    <w:name w:val="List Paragraph"/>
    <w:basedOn w:val="Normale"/>
    <w:uiPriority w:val="34"/>
    <w:qFormat/>
    <w:rsid w:val="00982D35"/>
    <w:pPr>
      <w:ind w:left="720"/>
      <w:contextualSpacing/>
    </w:pPr>
  </w:style>
  <w:style w:type="character" w:styleId="Enfasiintensa">
    <w:name w:val="Intense Emphasis"/>
    <w:basedOn w:val="Carpredefinitoparagrafo"/>
    <w:uiPriority w:val="21"/>
    <w:qFormat/>
    <w:rsid w:val="00982D35"/>
    <w:rPr>
      <w:i/>
      <w:iCs/>
      <w:color w:val="0F4761" w:themeColor="accent1" w:themeShade="BF"/>
    </w:rPr>
  </w:style>
  <w:style w:type="paragraph" w:styleId="Citazioneintensa">
    <w:name w:val="Intense Quote"/>
    <w:basedOn w:val="Normale"/>
    <w:next w:val="Normale"/>
    <w:link w:val="CitazioneintensaCarattere"/>
    <w:uiPriority w:val="30"/>
    <w:qFormat/>
    <w:rsid w:val="00982D3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982D35"/>
    <w:rPr>
      <w:i/>
      <w:iCs/>
      <w:color w:val="0F4761" w:themeColor="accent1" w:themeShade="BF"/>
    </w:rPr>
  </w:style>
  <w:style w:type="character" w:styleId="Riferimentointenso">
    <w:name w:val="Intense Reference"/>
    <w:basedOn w:val="Carpredefinitoparagrafo"/>
    <w:uiPriority w:val="32"/>
    <w:qFormat/>
    <w:rsid w:val="00982D35"/>
    <w:rPr>
      <w:b/>
      <w:bCs/>
      <w:smallCaps/>
      <w:color w:val="0F4761" w:themeColor="accent1" w:themeShade="BF"/>
      <w:spacing w:val="5"/>
    </w:rPr>
  </w:style>
  <w:style w:type="character" w:styleId="Collegamentoipertestuale">
    <w:name w:val="Hyperlink"/>
    <w:basedOn w:val="Carpredefinitoparagrafo"/>
    <w:uiPriority w:val="99"/>
    <w:unhideWhenUsed/>
    <w:rsid w:val="00AC61E0"/>
    <w:rPr>
      <w:color w:val="467886" w:themeColor="hyperlink"/>
      <w:u w:val="single"/>
    </w:rPr>
  </w:style>
  <w:style w:type="character" w:styleId="Menzionenonrisolta">
    <w:name w:val="Unresolved Mention"/>
    <w:basedOn w:val="Carpredefinitoparagrafo"/>
    <w:uiPriority w:val="99"/>
    <w:semiHidden/>
    <w:unhideWhenUsed/>
    <w:rsid w:val="00AC61E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8851901">
      <w:bodyDiv w:val="1"/>
      <w:marLeft w:val="0"/>
      <w:marRight w:val="0"/>
      <w:marTop w:val="0"/>
      <w:marBottom w:val="0"/>
      <w:divBdr>
        <w:top w:val="none" w:sz="0" w:space="0" w:color="auto"/>
        <w:left w:val="none" w:sz="0" w:space="0" w:color="auto"/>
        <w:bottom w:val="none" w:sz="0" w:space="0" w:color="auto"/>
        <w:right w:val="none" w:sz="0" w:space="0" w:color="auto"/>
      </w:divBdr>
      <w:divsChild>
        <w:div w:id="12654826">
          <w:marLeft w:val="0"/>
          <w:marRight w:val="0"/>
          <w:marTop w:val="0"/>
          <w:marBottom w:val="1500"/>
          <w:divBdr>
            <w:top w:val="none" w:sz="0" w:space="0" w:color="auto"/>
            <w:left w:val="none" w:sz="0" w:space="0" w:color="auto"/>
            <w:bottom w:val="none" w:sz="0" w:space="0" w:color="auto"/>
            <w:right w:val="none" w:sz="0" w:space="0" w:color="auto"/>
          </w:divBdr>
          <w:divsChild>
            <w:div w:id="1117799058">
              <w:marLeft w:val="-225"/>
              <w:marRight w:val="-225"/>
              <w:marTop w:val="0"/>
              <w:marBottom w:val="0"/>
              <w:divBdr>
                <w:top w:val="none" w:sz="0" w:space="0" w:color="auto"/>
                <w:left w:val="none" w:sz="0" w:space="0" w:color="auto"/>
                <w:bottom w:val="none" w:sz="0" w:space="0" w:color="auto"/>
                <w:right w:val="none" w:sz="0" w:space="0" w:color="auto"/>
              </w:divBdr>
              <w:divsChild>
                <w:div w:id="1426609270">
                  <w:marLeft w:val="0"/>
                  <w:marRight w:val="0"/>
                  <w:marTop w:val="0"/>
                  <w:marBottom w:val="0"/>
                  <w:divBdr>
                    <w:top w:val="none" w:sz="0" w:space="0" w:color="auto"/>
                    <w:left w:val="none" w:sz="0" w:space="0" w:color="auto"/>
                    <w:bottom w:val="none" w:sz="0" w:space="0" w:color="auto"/>
                    <w:right w:val="none" w:sz="0" w:space="0" w:color="auto"/>
                  </w:divBdr>
                  <w:divsChild>
                    <w:div w:id="1647010505">
                      <w:marLeft w:val="0"/>
                      <w:marRight w:val="0"/>
                      <w:marTop w:val="0"/>
                      <w:marBottom w:val="0"/>
                      <w:divBdr>
                        <w:top w:val="none" w:sz="0" w:space="0" w:color="auto"/>
                        <w:left w:val="none" w:sz="0" w:space="0" w:color="auto"/>
                        <w:bottom w:val="none" w:sz="0" w:space="0" w:color="auto"/>
                        <w:right w:val="none" w:sz="0" w:space="0" w:color="auto"/>
                      </w:divBdr>
                      <w:divsChild>
                        <w:div w:id="1113595168">
                          <w:marLeft w:val="0"/>
                          <w:marRight w:val="0"/>
                          <w:marTop w:val="0"/>
                          <w:marBottom w:val="0"/>
                          <w:divBdr>
                            <w:top w:val="none" w:sz="0" w:space="0" w:color="auto"/>
                            <w:left w:val="none" w:sz="0" w:space="0" w:color="auto"/>
                            <w:bottom w:val="none" w:sz="0" w:space="0" w:color="auto"/>
                            <w:right w:val="none" w:sz="0" w:space="0" w:color="auto"/>
                          </w:divBdr>
                          <w:divsChild>
                            <w:div w:id="843974441">
                              <w:marLeft w:val="0"/>
                              <w:marRight w:val="0"/>
                              <w:marTop w:val="0"/>
                              <w:marBottom w:val="0"/>
                              <w:divBdr>
                                <w:top w:val="none" w:sz="0" w:space="0" w:color="auto"/>
                                <w:left w:val="none" w:sz="0" w:space="0" w:color="auto"/>
                                <w:bottom w:val="none" w:sz="0" w:space="0" w:color="auto"/>
                                <w:right w:val="none" w:sz="0" w:space="0" w:color="auto"/>
                              </w:divBdr>
                              <w:divsChild>
                                <w:div w:id="1721126542">
                                  <w:marLeft w:val="0"/>
                                  <w:marRight w:val="0"/>
                                  <w:marTop w:val="0"/>
                                  <w:marBottom w:val="0"/>
                                  <w:divBdr>
                                    <w:top w:val="none" w:sz="0" w:space="0" w:color="auto"/>
                                    <w:left w:val="none" w:sz="0" w:space="0" w:color="auto"/>
                                    <w:bottom w:val="none" w:sz="0" w:space="0" w:color="auto"/>
                                    <w:right w:val="none" w:sz="0" w:space="0" w:color="auto"/>
                                  </w:divBdr>
                                  <w:divsChild>
                                    <w:div w:id="1710372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9624391">
      <w:bodyDiv w:val="1"/>
      <w:marLeft w:val="0"/>
      <w:marRight w:val="0"/>
      <w:marTop w:val="0"/>
      <w:marBottom w:val="0"/>
      <w:divBdr>
        <w:top w:val="none" w:sz="0" w:space="0" w:color="auto"/>
        <w:left w:val="none" w:sz="0" w:space="0" w:color="auto"/>
        <w:bottom w:val="none" w:sz="0" w:space="0" w:color="auto"/>
        <w:right w:val="none" w:sz="0" w:space="0" w:color="auto"/>
      </w:divBdr>
      <w:divsChild>
        <w:div w:id="1310403029">
          <w:marLeft w:val="0"/>
          <w:marRight w:val="0"/>
          <w:marTop w:val="0"/>
          <w:marBottom w:val="1500"/>
          <w:divBdr>
            <w:top w:val="none" w:sz="0" w:space="0" w:color="auto"/>
            <w:left w:val="none" w:sz="0" w:space="0" w:color="auto"/>
            <w:bottom w:val="none" w:sz="0" w:space="0" w:color="auto"/>
            <w:right w:val="none" w:sz="0" w:space="0" w:color="auto"/>
          </w:divBdr>
          <w:divsChild>
            <w:div w:id="2041854221">
              <w:marLeft w:val="-225"/>
              <w:marRight w:val="-225"/>
              <w:marTop w:val="0"/>
              <w:marBottom w:val="0"/>
              <w:divBdr>
                <w:top w:val="none" w:sz="0" w:space="0" w:color="auto"/>
                <w:left w:val="none" w:sz="0" w:space="0" w:color="auto"/>
                <w:bottom w:val="none" w:sz="0" w:space="0" w:color="auto"/>
                <w:right w:val="none" w:sz="0" w:space="0" w:color="auto"/>
              </w:divBdr>
              <w:divsChild>
                <w:div w:id="440103967">
                  <w:marLeft w:val="0"/>
                  <w:marRight w:val="0"/>
                  <w:marTop w:val="0"/>
                  <w:marBottom w:val="0"/>
                  <w:divBdr>
                    <w:top w:val="none" w:sz="0" w:space="0" w:color="auto"/>
                    <w:left w:val="none" w:sz="0" w:space="0" w:color="auto"/>
                    <w:bottom w:val="none" w:sz="0" w:space="0" w:color="auto"/>
                    <w:right w:val="none" w:sz="0" w:space="0" w:color="auto"/>
                  </w:divBdr>
                  <w:divsChild>
                    <w:div w:id="46347188">
                      <w:marLeft w:val="0"/>
                      <w:marRight w:val="0"/>
                      <w:marTop w:val="0"/>
                      <w:marBottom w:val="0"/>
                      <w:divBdr>
                        <w:top w:val="none" w:sz="0" w:space="0" w:color="auto"/>
                        <w:left w:val="none" w:sz="0" w:space="0" w:color="auto"/>
                        <w:bottom w:val="none" w:sz="0" w:space="0" w:color="auto"/>
                        <w:right w:val="none" w:sz="0" w:space="0" w:color="auto"/>
                      </w:divBdr>
                      <w:divsChild>
                        <w:div w:id="2010910744">
                          <w:marLeft w:val="0"/>
                          <w:marRight w:val="0"/>
                          <w:marTop w:val="0"/>
                          <w:marBottom w:val="0"/>
                          <w:divBdr>
                            <w:top w:val="none" w:sz="0" w:space="0" w:color="auto"/>
                            <w:left w:val="none" w:sz="0" w:space="0" w:color="auto"/>
                            <w:bottom w:val="none" w:sz="0" w:space="0" w:color="auto"/>
                            <w:right w:val="none" w:sz="0" w:space="0" w:color="auto"/>
                          </w:divBdr>
                          <w:divsChild>
                            <w:div w:id="1082410012">
                              <w:marLeft w:val="0"/>
                              <w:marRight w:val="0"/>
                              <w:marTop w:val="0"/>
                              <w:marBottom w:val="0"/>
                              <w:divBdr>
                                <w:top w:val="none" w:sz="0" w:space="0" w:color="auto"/>
                                <w:left w:val="none" w:sz="0" w:space="0" w:color="auto"/>
                                <w:bottom w:val="none" w:sz="0" w:space="0" w:color="auto"/>
                                <w:right w:val="none" w:sz="0" w:space="0" w:color="auto"/>
                              </w:divBdr>
                              <w:divsChild>
                                <w:div w:id="798181770">
                                  <w:marLeft w:val="0"/>
                                  <w:marRight w:val="0"/>
                                  <w:marTop w:val="0"/>
                                  <w:marBottom w:val="0"/>
                                  <w:divBdr>
                                    <w:top w:val="none" w:sz="0" w:space="0" w:color="auto"/>
                                    <w:left w:val="none" w:sz="0" w:space="0" w:color="auto"/>
                                    <w:bottom w:val="none" w:sz="0" w:space="0" w:color="auto"/>
                                    <w:right w:val="none" w:sz="0" w:space="0" w:color="auto"/>
                                  </w:divBdr>
                                  <w:divsChild>
                                    <w:div w:id="194513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iurcost.org/decisioni/2007/0430s-07.html" TargetMode="External"/><Relationship Id="rId13" Type="http://schemas.openxmlformats.org/officeDocument/2006/relationships/hyperlink" Target="https://giurcost.org/decisioni/2010/0288s-10.html" TargetMode="External"/><Relationship Id="rId18" Type="http://schemas.openxmlformats.org/officeDocument/2006/relationships/hyperlink" Target="https://giurcost.org/decisioni/2010/0010s-10.html" TargetMode="External"/><Relationship Id="rId3" Type="http://schemas.openxmlformats.org/officeDocument/2006/relationships/webSettings" Target="webSettings.xml"/><Relationship Id="rId21" Type="http://schemas.openxmlformats.org/officeDocument/2006/relationships/hyperlink" Target="https://giurcost.org/decisioni/2012/0147s-12.html" TargetMode="External"/><Relationship Id="rId7" Type="http://schemas.openxmlformats.org/officeDocument/2006/relationships/hyperlink" Target="https://giurcost.org/decisioni/2008/0350s-08.html" TargetMode="External"/><Relationship Id="rId12" Type="http://schemas.openxmlformats.org/officeDocument/2006/relationships/hyperlink" Target="https://giurcost.org/decisioni/2006/0199o-06.html" TargetMode="External"/><Relationship Id="rId17" Type="http://schemas.openxmlformats.org/officeDocument/2006/relationships/hyperlink" Target="https://giurcost.org/decisioni/2010/0010s-10.html" TargetMode="External"/><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giurcost.org/decisioni/2010/0010s-10.html" TargetMode="External"/><Relationship Id="rId20" Type="http://schemas.openxmlformats.org/officeDocument/2006/relationships/hyperlink" Target="https://giurcost.org/decisioni/2005/0285s-05.html" TargetMode="External"/><Relationship Id="rId1" Type="http://schemas.openxmlformats.org/officeDocument/2006/relationships/styles" Target="styles.xml"/><Relationship Id="rId6" Type="http://schemas.openxmlformats.org/officeDocument/2006/relationships/hyperlink" Target="https://giurcost.org/decisioni/2010/0247s-10.html" TargetMode="External"/><Relationship Id="rId11" Type="http://schemas.openxmlformats.org/officeDocument/2006/relationships/hyperlink" Target="https://giurcost.org/decisioni/2004/0001s-04.html" TargetMode="External"/><Relationship Id="rId24" Type="http://schemas.openxmlformats.org/officeDocument/2006/relationships/fontTable" Target="fontTable.xml"/><Relationship Id="rId5" Type="http://schemas.openxmlformats.org/officeDocument/2006/relationships/hyperlink" Target="https://giurcost.org/decisioni/2010/0280s-10.html" TargetMode="External"/><Relationship Id="rId15" Type="http://schemas.openxmlformats.org/officeDocument/2006/relationships/hyperlink" Target="https://giurcost.org/decisioni/2004/0001s-04.html" TargetMode="External"/><Relationship Id="rId23" Type="http://schemas.openxmlformats.org/officeDocument/2006/relationships/hyperlink" Target="https://giurcost.org/decisioni/2005/0383s-05.html" TargetMode="External"/><Relationship Id="rId10" Type="http://schemas.openxmlformats.org/officeDocument/2006/relationships/hyperlink" Target="https://giurcost.org/decisioni/2007/0064s-07.html" TargetMode="External"/><Relationship Id="rId19" Type="http://schemas.openxmlformats.org/officeDocument/2006/relationships/hyperlink" Target="https://giurcost.org/decisioni/2007/0430s-07.html" TargetMode="External"/><Relationship Id="rId4" Type="http://schemas.openxmlformats.org/officeDocument/2006/relationships/hyperlink" Target="https://giurcost.org/decisioni/2011/0150s-11.html" TargetMode="External"/><Relationship Id="rId9" Type="http://schemas.openxmlformats.org/officeDocument/2006/relationships/hyperlink" Target="https://giurcost.org/decisioni/2007/0165s-07.html" TargetMode="External"/><Relationship Id="rId14" Type="http://schemas.openxmlformats.org/officeDocument/2006/relationships/hyperlink" Target="https://giurcost.org/decisioni/2007/0064s-07.html" TargetMode="External"/><Relationship Id="rId22" Type="http://schemas.openxmlformats.org/officeDocument/2006/relationships/hyperlink" Target="https://giurcost.org/decisioni/2011/0165s-11.html"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14</Pages>
  <Words>7797</Words>
  <Characters>44444</Characters>
  <Application>Microsoft Office Word</Application>
  <DocSecurity>0</DocSecurity>
  <Lines>370</Lines>
  <Paragraphs>104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52137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Maria Cherchi</dc:creator>
  <cp:keywords/>
  <dc:description/>
  <cp:lastModifiedBy>Roberto Maria Cherchi</cp:lastModifiedBy>
  <cp:revision>3</cp:revision>
  <dcterms:created xsi:type="dcterms:W3CDTF">2025-10-09T16:58:00Z</dcterms:created>
  <dcterms:modified xsi:type="dcterms:W3CDTF">2025-10-15T17:32:00Z</dcterms:modified>
</cp:coreProperties>
</file>