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A2000" w14:textId="77777777" w:rsidR="00A11399" w:rsidRPr="00A11399" w:rsidRDefault="00A11399" w:rsidP="001F56B4">
      <w:pPr>
        <w:jc w:val="both"/>
      </w:pPr>
      <w:r w:rsidRPr="00A11399">
        <w:t>SENTENZA N. 76</w:t>
      </w:r>
    </w:p>
    <w:p w14:paraId="349A7A24" w14:textId="77777777" w:rsidR="00A11399" w:rsidRPr="00A11399" w:rsidRDefault="00A11399" w:rsidP="001F56B4">
      <w:pPr>
        <w:jc w:val="both"/>
      </w:pPr>
      <w:r w:rsidRPr="00A11399">
        <w:t>ANNO 2009</w:t>
      </w:r>
    </w:p>
    <w:p w14:paraId="254C7E43" w14:textId="77777777" w:rsidR="00A11399" w:rsidRPr="00A11399" w:rsidRDefault="00A11399" w:rsidP="001F56B4">
      <w:pPr>
        <w:jc w:val="both"/>
      </w:pPr>
      <w:r w:rsidRPr="00A11399">
        <w:t> </w:t>
      </w:r>
    </w:p>
    <w:p w14:paraId="02949940" w14:textId="77777777" w:rsidR="00A11399" w:rsidRPr="00A11399" w:rsidRDefault="00A11399" w:rsidP="001F56B4">
      <w:pPr>
        <w:jc w:val="both"/>
      </w:pPr>
      <w:r w:rsidRPr="00A11399">
        <w:t>Commento alla decisione di</w:t>
      </w:r>
    </w:p>
    <w:p w14:paraId="19C7D59D" w14:textId="77777777" w:rsidR="00A11399" w:rsidRPr="00A11399" w:rsidRDefault="00A11399" w:rsidP="001F56B4">
      <w:pPr>
        <w:jc w:val="both"/>
      </w:pPr>
      <w:r w:rsidRPr="00A11399">
        <w:t> </w:t>
      </w:r>
    </w:p>
    <w:p w14:paraId="225AA5B5" w14:textId="77777777" w:rsidR="00A11399" w:rsidRPr="00A11399" w:rsidRDefault="00A11399" w:rsidP="001F56B4">
      <w:pPr>
        <w:jc w:val="both"/>
      </w:pPr>
      <w:r w:rsidRPr="00A11399">
        <w:t>Giovanni Di Cosimo</w:t>
      </w:r>
    </w:p>
    <w:p w14:paraId="0A93C7AE" w14:textId="77777777" w:rsidR="00A11399" w:rsidRPr="00A11399" w:rsidRDefault="00A11399" w:rsidP="001F56B4">
      <w:pPr>
        <w:jc w:val="both"/>
      </w:pPr>
      <w:hyperlink r:id="rId4" w:history="1">
        <w:r w:rsidRPr="00A11399">
          <w:rPr>
            <w:rStyle w:val="Collegamentoipertestuale"/>
          </w:rPr>
          <w:t>Trasfigurazione della chiamata in sussidiarietà</w:t>
        </w:r>
      </w:hyperlink>
    </w:p>
    <w:p w14:paraId="62601728" w14:textId="77777777" w:rsidR="00A11399" w:rsidRPr="00A11399" w:rsidRDefault="00A11399" w:rsidP="001F56B4">
      <w:pPr>
        <w:jc w:val="both"/>
      </w:pPr>
      <w:r w:rsidRPr="00A11399">
        <w:t> </w:t>
      </w:r>
    </w:p>
    <w:p w14:paraId="1B65352C" w14:textId="77777777" w:rsidR="00A11399" w:rsidRPr="00A11399" w:rsidRDefault="00A11399" w:rsidP="001F56B4">
      <w:pPr>
        <w:jc w:val="both"/>
      </w:pPr>
      <w:r w:rsidRPr="00A11399">
        <w:t>(per gentile concessione del </w:t>
      </w:r>
      <w:hyperlink r:id="rId5" w:history="1">
        <w:r w:rsidRPr="00A11399">
          <w:rPr>
            <w:rStyle w:val="Collegamentoipertestuale"/>
          </w:rPr>
          <w:t>Forum dei Quaderni Costituzionali</w:t>
        </w:r>
      </w:hyperlink>
      <w:r w:rsidRPr="00A11399">
        <w:t>)</w:t>
      </w:r>
    </w:p>
    <w:p w14:paraId="14B59215" w14:textId="77777777" w:rsidR="00A11399" w:rsidRPr="00A11399" w:rsidRDefault="00A11399" w:rsidP="001F56B4">
      <w:pPr>
        <w:jc w:val="both"/>
      </w:pPr>
      <w:r w:rsidRPr="00A11399">
        <w:t> </w:t>
      </w:r>
    </w:p>
    <w:p w14:paraId="14B1F2D8" w14:textId="77777777" w:rsidR="00A11399" w:rsidRPr="00A11399" w:rsidRDefault="00A11399" w:rsidP="001F56B4">
      <w:pPr>
        <w:jc w:val="both"/>
      </w:pPr>
      <w:r w:rsidRPr="00A11399">
        <w:t> </w:t>
      </w:r>
    </w:p>
    <w:p w14:paraId="09BDF953" w14:textId="77777777" w:rsidR="00A11399" w:rsidRPr="00A11399" w:rsidRDefault="00A11399" w:rsidP="001F56B4">
      <w:pPr>
        <w:jc w:val="both"/>
      </w:pPr>
      <w:r w:rsidRPr="00A11399">
        <w:t>REPUBBLICA ITALIANA</w:t>
      </w:r>
    </w:p>
    <w:p w14:paraId="5812A91C" w14:textId="77777777" w:rsidR="00A11399" w:rsidRPr="00A11399" w:rsidRDefault="00A11399" w:rsidP="001F56B4">
      <w:pPr>
        <w:jc w:val="both"/>
      </w:pPr>
      <w:r w:rsidRPr="00A11399">
        <w:t>IN NOME DEL POPOLO ITALIANO</w:t>
      </w:r>
    </w:p>
    <w:p w14:paraId="5EEE8DB5" w14:textId="77777777" w:rsidR="00A11399" w:rsidRPr="00A11399" w:rsidRDefault="00A11399" w:rsidP="001F56B4">
      <w:pPr>
        <w:jc w:val="both"/>
      </w:pPr>
      <w:r w:rsidRPr="00A11399">
        <w:t>LA CORTE COSTITUZIONALE</w:t>
      </w:r>
    </w:p>
    <w:p w14:paraId="00BF403C" w14:textId="77777777" w:rsidR="00A11399" w:rsidRPr="00A11399" w:rsidRDefault="00A11399" w:rsidP="001F56B4">
      <w:pPr>
        <w:jc w:val="both"/>
      </w:pPr>
      <w:r w:rsidRPr="00A11399">
        <w:t>composta dai signori:</w:t>
      </w:r>
    </w:p>
    <w:p w14:paraId="440FEB5A" w14:textId="77777777" w:rsidR="00A11399" w:rsidRPr="00A11399" w:rsidRDefault="00A11399" w:rsidP="001F56B4">
      <w:pPr>
        <w:jc w:val="both"/>
      </w:pPr>
      <w:r w:rsidRPr="00A11399">
        <w:t>-    Francesco                  AMIRANTE                         Presidente</w:t>
      </w:r>
    </w:p>
    <w:p w14:paraId="31C4C652" w14:textId="77777777" w:rsidR="00A11399" w:rsidRPr="00A11399" w:rsidRDefault="00A11399" w:rsidP="001F56B4">
      <w:pPr>
        <w:jc w:val="both"/>
      </w:pPr>
      <w:r w:rsidRPr="00A11399">
        <w:t>-    Ugo                          DE SIERVO                          Giudice</w:t>
      </w:r>
    </w:p>
    <w:p w14:paraId="64F908EF" w14:textId="77777777" w:rsidR="00A11399" w:rsidRPr="00A11399" w:rsidRDefault="00A11399" w:rsidP="001F56B4">
      <w:pPr>
        <w:jc w:val="both"/>
      </w:pPr>
      <w:r w:rsidRPr="00A11399">
        <w:t>-    Paolo                        MADDALENA                           "</w:t>
      </w:r>
    </w:p>
    <w:p w14:paraId="40D8AE2A" w14:textId="77777777" w:rsidR="00A11399" w:rsidRPr="00A11399" w:rsidRDefault="00A11399" w:rsidP="001F56B4">
      <w:pPr>
        <w:jc w:val="both"/>
      </w:pPr>
      <w:r w:rsidRPr="00A11399">
        <w:t>-    Alfio                        FINOCCHIARO                         "</w:t>
      </w:r>
    </w:p>
    <w:p w14:paraId="539E45F7" w14:textId="77777777" w:rsidR="00A11399" w:rsidRPr="00A11399" w:rsidRDefault="00A11399" w:rsidP="001F56B4">
      <w:pPr>
        <w:jc w:val="both"/>
      </w:pPr>
      <w:r w:rsidRPr="00A11399">
        <w:t>-    Alfonso                    QUARANTA                              "</w:t>
      </w:r>
    </w:p>
    <w:p w14:paraId="79EF0438" w14:textId="77777777" w:rsidR="00A11399" w:rsidRPr="00A11399" w:rsidRDefault="00A11399" w:rsidP="001F56B4">
      <w:pPr>
        <w:jc w:val="both"/>
      </w:pPr>
      <w:r w:rsidRPr="00A11399">
        <w:t>-    Franco                      GALLO                                      "</w:t>
      </w:r>
    </w:p>
    <w:p w14:paraId="6181E356" w14:textId="77777777" w:rsidR="00A11399" w:rsidRPr="00A11399" w:rsidRDefault="00A11399" w:rsidP="001F56B4">
      <w:pPr>
        <w:jc w:val="both"/>
      </w:pPr>
      <w:r w:rsidRPr="00A11399">
        <w:t>-    Luigi                        MAZZELLA                               "</w:t>
      </w:r>
    </w:p>
    <w:p w14:paraId="4EFB31FC" w14:textId="77777777" w:rsidR="00A11399" w:rsidRPr="00A11399" w:rsidRDefault="00A11399" w:rsidP="001F56B4">
      <w:pPr>
        <w:jc w:val="both"/>
      </w:pPr>
      <w:r w:rsidRPr="00A11399">
        <w:t>-    Gaetano                    SILVESTRI                                "</w:t>
      </w:r>
    </w:p>
    <w:p w14:paraId="15B95EED" w14:textId="77777777" w:rsidR="00A11399" w:rsidRPr="00A11399" w:rsidRDefault="00A11399" w:rsidP="001F56B4">
      <w:pPr>
        <w:jc w:val="both"/>
      </w:pPr>
      <w:r w:rsidRPr="00A11399">
        <w:t>-    Sabino                      CASSESE                                   "</w:t>
      </w:r>
    </w:p>
    <w:p w14:paraId="037B5D6D" w14:textId="77777777" w:rsidR="00A11399" w:rsidRPr="00A11399" w:rsidRDefault="00A11399" w:rsidP="001F56B4">
      <w:pPr>
        <w:jc w:val="both"/>
      </w:pPr>
      <w:r w:rsidRPr="00A11399">
        <w:t>-    Maria Rita                 SAULLE                                    "</w:t>
      </w:r>
    </w:p>
    <w:p w14:paraId="2EBBE256" w14:textId="77777777" w:rsidR="00A11399" w:rsidRPr="00A11399" w:rsidRDefault="00A11399" w:rsidP="001F56B4">
      <w:pPr>
        <w:jc w:val="both"/>
      </w:pPr>
      <w:r w:rsidRPr="00A11399">
        <w:t>-    Giuseppe                   TESAURO                                  "</w:t>
      </w:r>
    </w:p>
    <w:p w14:paraId="78E6B882" w14:textId="77777777" w:rsidR="00A11399" w:rsidRPr="00A11399" w:rsidRDefault="00A11399" w:rsidP="001F56B4">
      <w:pPr>
        <w:jc w:val="both"/>
      </w:pPr>
      <w:r w:rsidRPr="00A11399">
        <w:t>-    Paolo Maria               NAPOLITANO                           "</w:t>
      </w:r>
    </w:p>
    <w:p w14:paraId="46414711" w14:textId="77777777" w:rsidR="00A11399" w:rsidRPr="00A11399" w:rsidRDefault="00A11399" w:rsidP="001F56B4">
      <w:pPr>
        <w:jc w:val="both"/>
      </w:pPr>
      <w:r w:rsidRPr="00A11399">
        <w:t>-    Giuseppe                   FRIGO                                       "</w:t>
      </w:r>
    </w:p>
    <w:p w14:paraId="51502A1F" w14:textId="77777777" w:rsidR="00A11399" w:rsidRPr="00A11399" w:rsidRDefault="00A11399" w:rsidP="001F56B4">
      <w:pPr>
        <w:jc w:val="both"/>
      </w:pPr>
      <w:r w:rsidRPr="00A11399">
        <w:t>-    Alessandro                CRISCUOLO                              "</w:t>
      </w:r>
    </w:p>
    <w:p w14:paraId="0B6CC407" w14:textId="77777777" w:rsidR="00A11399" w:rsidRPr="00A11399" w:rsidRDefault="00A11399" w:rsidP="001F56B4">
      <w:pPr>
        <w:jc w:val="both"/>
      </w:pPr>
      <w:r w:rsidRPr="00A11399">
        <w:t>ha pronunciato la seguente</w:t>
      </w:r>
    </w:p>
    <w:p w14:paraId="66A8EF12" w14:textId="77777777" w:rsidR="00A11399" w:rsidRPr="00A11399" w:rsidRDefault="00A11399" w:rsidP="001F56B4">
      <w:pPr>
        <w:jc w:val="both"/>
      </w:pPr>
      <w:r w:rsidRPr="00A11399">
        <w:t>SENTENZA</w:t>
      </w:r>
    </w:p>
    <w:p w14:paraId="0D372521" w14:textId="77777777" w:rsidR="00A11399" w:rsidRPr="00A11399" w:rsidRDefault="00A11399" w:rsidP="001F56B4">
      <w:pPr>
        <w:jc w:val="both"/>
      </w:pPr>
      <w:r w:rsidRPr="00A11399">
        <w:rPr>
          <w:i/>
          <w:iCs/>
        </w:rPr>
        <w:t>Considerato in diritto</w:t>
      </w:r>
    </w:p>
    <w:p w14:paraId="17980B3A" w14:textId="77777777" w:rsidR="00A11399" w:rsidRPr="00E641CC" w:rsidRDefault="00A11399" w:rsidP="001F56B4">
      <w:pPr>
        <w:jc w:val="both"/>
        <w:rPr>
          <w:b/>
          <w:bCs/>
        </w:rPr>
      </w:pPr>
      <w:r w:rsidRPr="00E641CC">
        <w:rPr>
          <w:b/>
          <w:bCs/>
        </w:rPr>
        <w:lastRenderedPageBreak/>
        <w:t>1. – La Regione Veneto ha impugnato, tra l’altro, i commi 194 e 195, dell’art. 2, della legge 24 dicembre 2007, n. 244 (Disposizioni per la formazione del bilancio annuale e pluriennale dello Stato - legge finanziaria 2008), sostenendo che essi violano gli artt. 117, 118 e 120 della Costituzione, nonché il principio di leale collaborazione di cui agli artt. 5 e 120, secondo comma, Cost. e 11 della legge costituzionale 18 ottobre 2001, n. 3 (Modifiche al Titolo V della Parte seconda della Costituzione), perché, intervenendo in una materia (turismo) attribuita alla competenza legislativa residuale delle Regioni: </w:t>
      </w:r>
      <w:r w:rsidRPr="00E641CC">
        <w:rPr>
          <w:b/>
          <w:bCs/>
          <w:i/>
          <w:iCs/>
        </w:rPr>
        <w:t>a)</w:t>
      </w:r>
      <w:r w:rsidRPr="00E641CC">
        <w:rPr>
          <w:b/>
          <w:bCs/>
        </w:rPr>
        <w:t> non rispettano il principio di sussidiarietà, differenziazione e adeguatezza, attraendo – in capo al potere esecutivo centrale – una generale attività di riordino e di semplificazione delle procedure dirette ad incentivare lo sviluppo strategico dei prodotti turistici di rilevanza nazionale, ed affidando ad un Dipartimento della Presidenza del Consiglio dei ministri il compito di sostenere e promuovere progetti di investimento volti ad incrementare e a riqualificare il prodotto turistico nazionale; </w:t>
      </w:r>
      <w:r w:rsidRPr="00E641CC">
        <w:rPr>
          <w:b/>
          <w:bCs/>
          <w:i/>
          <w:iCs/>
        </w:rPr>
        <w:t>b)</w:t>
      </w:r>
      <w:r w:rsidRPr="00E641CC">
        <w:rPr>
          <w:b/>
          <w:bCs/>
        </w:rPr>
        <w:t> violano il principio di leale collaborazione in quanto, da un lato, il comma 195 non impone alcuna forma di concertazione con le Regioni e, dall’altro lato, il comma 194 non garantisce una reale forma di partecipazione delle Regioni, prevedendo lo strumento della consultazione anziché quello dell’intesa con la Conferenza permanente per i rapporti tra lo Stato, le Regioni e le Province autonome di Trento e Bolzano.</w:t>
      </w:r>
    </w:p>
    <w:p w14:paraId="3EF3784D" w14:textId="77777777" w:rsidR="00A11399" w:rsidRPr="00E641CC" w:rsidRDefault="00A11399" w:rsidP="001F56B4">
      <w:pPr>
        <w:jc w:val="both"/>
        <w:rPr>
          <w:b/>
          <w:bCs/>
        </w:rPr>
      </w:pPr>
      <w:r w:rsidRPr="00E641CC">
        <w:rPr>
          <w:b/>
          <w:bCs/>
        </w:rPr>
        <w:t>2. – Riservata a separate pronunzie la decisione sull’impugnazione di altre disposizioni della stessa legge n. 244 del 2007, la questione relativa all’art. 2, comma 194, è fondata nei termini di seguito precisati.</w:t>
      </w:r>
    </w:p>
    <w:p w14:paraId="1D5AFFB6" w14:textId="77777777" w:rsidR="00A11399" w:rsidRPr="00A11399" w:rsidRDefault="00A11399" w:rsidP="001F56B4">
      <w:pPr>
        <w:jc w:val="both"/>
      </w:pPr>
      <w:r w:rsidRPr="00E641CC">
        <w:rPr>
          <w:b/>
          <w:bCs/>
        </w:rPr>
        <w:t xml:space="preserve">Tale norma prevede che, per sostenere lo sviluppo del settore mediante la promozione di economie di scala ed il contenimento dei costi di gestione delle imprese ivi operanti, </w:t>
      </w:r>
      <w:r w:rsidRPr="00E641CC">
        <w:rPr>
          <w:b/>
          <w:bCs/>
          <w:color w:val="EE0000"/>
        </w:rPr>
        <w:t>siano definite, con uno o più regolamenti da adottare ai sensi dell’art. 17, comma 2, della legge 23 agosto 1988, n. 400</w:t>
      </w:r>
      <w:r w:rsidRPr="00E641CC">
        <w:rPr>
          <w:b/>
          <w:bCs/>
        </w:rPr>
        <w:t xml:space="preserve"> (Disciplina dell'attività di Governo e ordinamento della Presidenza del Consiglio dei ministri), sentita la Conferenza Stato-Regioni, le procedure acceleratorie e di semplificazione volte a favorire l’aumento dei flussi turistici e la nascita di nuove imprese del settore, nel rispetto delle competenze regionali. Queste procedure debbono privilegiare le azioni finalizzate alla razionalizzazione e alla riduzione degli adempimenti a carico delle imprese e dei termini di durata dei procedimenti, nonché alla definizione di specifici moduli procedimentali idonei a coordinare l’esercizio dei poteri pubblici</w:t>
      </w:r>
      <w:r w:rsidRPr="00A11399">
        <w:t>.</w:t>
      </w:r>
    </w:p>
    <w:p w14:paraId="4710A582" w14:textId="77777777" w:rsidR="00A11399" w:rsidRPr="001F56B4" w:rsidRDefault="00A11399" w:rsidP="001F56B4">
      <w:pPr>
        <w:jc w:val="both"/>
        <w:rPr>
          <w:b/>
          <w:bCs/>
        </w:rPr>
      </w:pPr>
      <w:r w:rsidRPr="001F56B4">
        <w:rPr>
          <w:b/>
          <w:bCs/>
        </w:rPr>
        <w:t xml:space="preserve">La disposizione, rientrando nella materia del turismo, appartiene alla </w:t>
      </w:r>
      <w:r w:rsidRPr="00E641CC">
        <w:rPr>
          <w:b/>
          <w:bCs/>
          <w:u w:val="single"/>
        </w:rPr>
        <w:t>competenza legislativa residuale delle Regioni</w:t>
      </w:r>
      <w:r w:rsidRPr="001F56B4">
        <w:rPr>
          <w:b/>
          <w:bCs/>
        </w:rPr>
        <w:t>, ai sensi dell’art. 117, quarto comma, Cost. (sentenze </w:t>
      </w:r>
      <w:hyperlink r:id="rId6" w:history="1">
        <w:r w:rsidRPr="001F56B4">
          <w:rPr>
            <w:rStyle w:val="Collegamentoipertestuale"/>
            <w:b/>
            <w:bCs/>
          </w:rPr>
          <w:t>n. 94 del 2008</w:t>
        </w:r>
      </w:hyperlink>
      <w:r w:rsidRPr="001F56B4">
        <w:rPr>
          <w:b/>
          <w:bCs/>
        </w:rPr>
        <w:t>, </w:t>
      </w:r>
      <w:hyperlink r:id="rId7" w:history="1">
        <w:r w:rsidRPr="001F56B4">
          <w:rPr>
            <w:rStyle w:val="Collegamentoipertestuale"/>
            <w:b/>
            <w:bCs/>
          </w:rPr>
          <w:t>n. 214</w:t>
        </w:r>
      </w:hyperlink>
      <w:r w:rsidRPr="001F56B4">
        <w:rPr>
          <w:b/>
          <w:bCs/>
        </w:rPr>
        <w:t> e </w:t>
      </w:r>
      <w:hyperlink r:id="rId8" w:history="1">
        <w:r w:rsidRPr="001F56B4">
          <w:rPr>
            <w:rStyle w:val="Collegamentoipertestuale"/>
            <w:b/>
            <w:bCs/>
          </w:rPr>
          <w:t>n. 90 del 2006</w:t>
        </w:r>
      </w:hyperlink>
      <w:r w:rsidRPr="001F56B4">
        <w:rPr>
          <w:b/>
          <w:bCs/>
        </w:rPr>
        <w:t xml:space="preserve">). Tuttavia, secondo la giurisprudenza di questa Corte, l’esigenza di un esercizio unitario a livello statale di determinate funzioni amministrative, abilita lo Stato a disciplinare siffatto esercizio per legge. E ciò anche se quelle funzioni siano riconducibili a materie di legislazione concorrente o residuale. In tal caso, </w:t>
      </w:r>
      <w:r w:rsidRPr="00E641CC">
        <w:rPr>
          <w:b/>
          <w:bCs/>
          <w:u w:val="single"/>
        </w:rPr>
        <w:t>i princìpi di sussidiarietà e di adeguatezza</w:t>
      </w:r>
      <w:r w:rsidRPr="001F56B4">
        <w:rPr>
          <w:b/>
          <w:bCs/>
        </w:rPr>
        <w:t xml:space="preserve"> (in forza dei quali si verifica l’ascesa della funzione normativa dal livello regionale a quello statale) possono giustificare una deroga al normale riparto di competenze contenuto nel Titolo V della Parte II della Costituzione. A condizione, naturalmente, che la valutazione dell’interesse pubblico sottostante all’assunzione di funzioni regionali da parte dello Stato </w:t>
      </w:r>
      <w:r w:rsidRPr="00E641CC">
        <w:rPr>
          <w:b/>
          <w:bCs/>
          <w:u w:val="single"/>
        </w:rPr>
        <w:t>sia proporzionata</w:t>
      </w:r>
      <w:r w:rsidRPr="001F56B4">
        <w:rPr>
          <w:b/>
          <w:bCs/>
        </w:rPr>
        <w:t xml:space="preserve">, assistita da </w:t>
      </w:r>
      <w:r w:rsidRPr="00E641CC">
        <w:rPr>
          <w:b/>
          <w:bCs/>
          <w:u w:val="single"/>
        </w:rPr>
        <w:t>ragionevolezza</w:t>
      </w:r>
      <w:r w:rsidRPr="001F56B4">
        <w:rPr>
          <w:b/>
          <w:bCs/>
        </w:rPr>
        <w:t xml:space="preserve"> alla stregua di uno scrutinio stretto di costituzionalità e </w:t>
      </w:r>
      <w:r w:rsidRPr="00E641CC">
        <w:rPr>
          <w:b/>
          <w:bCs/>
          <w:u w:val="single"/>
        </w:rPr>
        <w:t xml:space="preserve">rispettosa del principio di leale collaborazione </w:t>
      </w:r>
      <w:r w:rsidRPr="001F56B4">
        <w:rPr>
          <w:b/>
          <w:bCs/>
        </w:rPr>
        <w:t>con le Regioni.</w:t>
      </w:r>
    </w:p>
    <w:p w14:paraId="64AA5580" w14:textId="77777777" w:rsidR="00A11399" w:rsidRPr="001F56B4" w:rsidRDefault="00A11399" w:rsidP="001F56B4">
      <w:pPr>
        <w:jc w:val="both"/>
        <w:rPr>
          <w:b/>
          <w:bCs/>
        </w:rPr>
      </w:pPr>
      <w:r w:rsidRPr="001F56B4">
        <w:rPr>
          <w:b/>
          <w:bCs/>
        </w:rPr>
        <w:t xml:space="preserve">Con specifico riguardo al settore turistico, questa Corte ha già affermato che </w:t>
      </w:r>
      <w:r w:rsidRPr="001F56B4">
        <w:rPr>
          <w:b/>
          <w:bCs/>
          <w:u w:val="single"/>
        </w:rPr>
        <w:t xml:space="preserve">la necessità di un </w:t>
      </w:r>
      <w:r w:rsidRPr="00E641CC">
        <w:rPr>
          <w:b/>
          <w:bCs/>
          <w:color w:val="EE0000"/>
          <w:u w:val="single"/>
        </w:rPr>
        <w:t xml:space="preserve">intervento unitario </w:t>
      </w:r>
      <w:r w:rsidRPr="001F56B4">
        <w:rPr>
          <w:b/>
          <w:bCs/>
          <w:u w:val="single"/>
        </w:rPr>
        <w:t>del legislatore statale nasce dall’esigenza di valorizzare al meglio l’attività turistica sul piano economico interno ed internazionale</w:t>
      </w:r>
      <w:r w:rsidRPr="001F56B4">
        <w:rPr>
          <w:b/>
          <w:bCs/>
        </w:rPr>
        <w:t xml:space="preserve">, attraverso misure di varia e complessa natura, e dalla necessità di </w:t>
      </w:r>
      <w:r w:rsidRPr="00E641CC">
        <w:rPr>
          <w:b/>
          <w:bCs/>
          <w:color w:val="EE0000"/>
        </w:rPr>
        <w:t xml:space="preserve">ricondurre ad unità </w:t>
      </w:r>
      <w:r w:rsidRPr="001F56B4">
        <w:rPr>
          <w:b/>
          <w:bCs/>
        </w:rPr>
        <w:t>la grande varietà dell’offerta turistica del nostro Paese e di esaltare il rilievo assunto dal turismo nell’ambito dell’economia nazionale (sentenze </w:t>
      </w:r>
      <w:hyperlink r:id="rId9" w:history="1">
        <w:r w:rsidRPr="001F56B4">
          <w:rPr>
            <w:rStyle w:val="Collegamentoipertestuale"/>
            <w:b/>
            <w:bCs/>
          </w:rPr>
          <w:t>n. 88 del 2007</w:t>
        </w:r>
      </w:hyperlink>
      <w:r w:rsidRPr="001F56B4">
        <w:rPr>
          <w:b/>
          <w:bCs/>
        </w:rPr>
        <w:t> e n. </w:t>
      </w:r>
      <w:hyperlink r:id="rId10" w:history="1">
        <w:r w:rsidRPr="001F56B4">
          <w:rPr>
            <w:rStyle w:val="Collegamentoipertestuale"/>
            <w:b/>
            <w:bCs/>
          </w:rPr>
          <w:t>214 del 2006</w:t>
        </w:r>
      </w:hyperlink>
      <w:r w:rsidRPr="001F56B4">
        <w:rPr>
          <w:b/>
          <w:bCs/>
        </w:rPr>
        <w:t>).</w:t>
      </w:r>
    </w:p>
    <w:p w14:paraId="759EF134" w14:textId="77777777" w:rsidR="00A11399" w:rsidRPr="00E641CC" w:rsidRDefault="00A11399" w:rsidP="001F56B4">
      <w:pPr>
        <w:jc w:val="both"/>
        <w:rPr>
          <w:b/>
          <w:bCs/>
        </w:rPr>
      </w:pPr>
      <w:r w:rsidRPr="00E641CC">
        <w:rPr>
          <w:b/>
          <w:bCs/>
        </w:rPr>
        <w:t xml:space="preserve">Siffatte esigenze giustificano anche l’intervento del legislatore statale attuato con l’art. 2, comma 194, della legge n. 244 del 2007. Per realizzare, infatti, </w:t>
      </w:r>
      <w:r w:rsidRPr="00E641CC">
        <w:rPr>
          <w:b/>
          <w:bCs/>
          <w:color w:val="EE0000"/>
        </w:rPr>
        <w:t xml:space="preserve">economie di scala </w:t>
      </w:r>
      <w:r w:rsidRPr="00E641CC">
        <w:rPr>
          <w:b/>
          <w:bCs/>
        </w:rPr>
        <w:t xml:space="preserve">ed un </w:t>
      </w:r>
      <w:r w:rsidRPr="00E641CC">
        <w:rPr>
          <w:b/>
          <w:bCs/>
          <w:color w:val="EE0000"/>
        </w:rPr>
        <w:t>contenimento dei costi di gestione</w:t>
      </w:r>
      <w:r w:rsidRPr="00E641CC">
        <w:rPr>
          <w:b/>
          <w:bCs/>
        </w:rPr>
        <w:t xml:space="preserve"> delle imprese operanti nel settore, appare necessaria la predisposizione di una disciplina, uniforme su tutto il territorio nazionale, di </w:t>
      </w:r>
      <w:r w:rsidRPr="00E641CC">
        <w:rPr>
          <w:b/>
          <w:bCs/>
          <w:color w:val="EE0000"/>
        </w:rPr>
        <w:t>procedure acceleratorie e di semplificazione</w:t>
      </w:r>
      <w:r w:rsidRPr="00E641CC">
        <w:rPr>
          <w:b/>
          <w:bCs/>
        </w:rPr>
        <w:t>, diretta a ridurre gli adempimenti a carico delle imprese operanti nel settore e la durata dei procedimenti, nonché a consentire un miglior coordinamento dell’attività delle varie autorità pubbliche interessate.</w:t>
      </w:r>
    </w:p>
    <w:p w14:paraId="6D9852B2" w14:textId="77777777" w:rsidR="00A11399" w:rsidRPr="00E641CC" w:rsidRDefault="00A11399" w:rsidP="001F56B4">
      <w:pPr>
        <w:jc w:val="both"/>
        <w:rPr>
          <w:b/>
          <w:bCs/>
        </w:rPr>
      </w:pPr>
      <w:r w:rsidRPr="00E641CC">
        <w:rPr>
          <w:b/>
          <w:bCs/>
        </w:rPr>
        <w:t xml:space="preserve">Tuttavia, considerato che </w:t>
      </w:r>
      <w:r w:rsidRPr="00E641CC">
        <w:rPr>
          <w:b/>
          <w:bCs/>
          <w:u w:val="single"/>
        </w:rPr>
        <w:t>una tale disciplina regolamentare</w:t>
      </w:r>
      <w:r w:rsidRPr="00E641CC">
        <w:rPr>
          <w:b/>
          <w:bCs/>
        </w:rPr>
        <w:t xml:space="preserve"> è destinata ad incidere in maniera significativa sulle competenze delle Regioni in materia di turismo (in particolare introducendo procedure e termini che dovranno essere osservati anche dalle strutture amministrative regionali), </w:t>
      </w:r>
      <w:r w:rsidRPr="00E641CC">
        <w:rPr>
          <w:b/>
          <w:bCs/>
          <w:u w:val="single"/>
        </w:rPr>
        <w:t>la norma impugnata deve prevedere l’incisivo strumento di leale collaborazione</w:t>
      </w:r>
      <w:r w:rsidRPr="00E641CC">
        <w:rPr>
          <w:b/>
          <w:bCs/>
        </w:rPr>
        <w:t xml:space="preserve"> con le Regioni rappresentato dall’intesa con la Conferenza Stato-Regioni. La disposizione censurata, quindi, laddove stabilisce che i regolamenti siano emanati «</w:t>
      </w:r>
      <w:r w:rsidRPr="00E641CC">
        <w:rPr>
          <w:b/>
          <w:bCs/>
          <w:u w:val="single"/>
        </w:rPr>
        <w:t>sentita</w:t>
      </w:r>
      <w:r w:rsidRPr="00E641CC">
        <w:rPr>
          <w:b/>
          <w:bCs/>
        </w:rPr>
        <w:t xml:space="preserve"> la Conferenza permanente per i rapporti tra lo Stato, le regioni e le province autonome di Trento e di Bolzano», prevede una modalità di collaborazione delle Regioni </w:t>
      </w:r>
      <w:r w:rsidRPr="00E641CC">
        <w:rPr>
          <w:b/>
          <w:bCs/>
          <w:u w:val="single"/>
        </w:rPr>
        <w:t xml:space="preserve">inidonea </w:t>
      </w:r>
      <w:r w:rsidRPr="00E641CC">
        <w:rPr>
          <w:b/>
          <w:bCs/>
        </w:rPr>
        <w:t>ad assicurare a queste ultime il ruolo che loro compete.</w:t>
      </w:r>
    </w:p>
    <w:p w14:paraId="07A96BC8" w14:textId="77777777" w:rsidR="00A11399" w:rsidRPr="00E641CC" w:rsidRDefault="00A11399" w:rsidP="001F56B4">
      <w:pPr>
        <w:jc w:val="both"/>
        <w:rPr>
          <w:b/>
          <w:bCs/>
        </w:rPr>
      </w:pPr>
      <w:r w:rsidRPr="00E641CC">
        <w:rPr>
          <w:b/>
          <w:bCs/>
        </w:rPr>
        <w:t>L’art. 2, comma 194, della legge n. 244 del 2007 è, dunque, illegittimo nella parte in cui stabilisce che i regolamenti da esso previsti siano adottati «sentita la Conferenza permanente per i rapporti tra lo Stato, le regioni e le province autonome di Trento e di Bolzano», invece che «d’intesa con la Conferenza permanente per i rapporti tra lo Stato, le Regioni e le Province autonome di Trento e di Bolzano».</w:t>
      </w:r>
    </w:p>
    <w:p w14:paraId="1DF77E21" w14:textId="43D05843" w:rsidR="00E641CC" w:rsidRDefault="00E641CC" w:rsidP="001F56B4">
      <w:pPr>
        <w:jc w:val="both"/>
      </w:pPr>
      <w:r>
        <w:t>[…]</w:t>
      </w:r>
    </w:p>
    <w:p w14:paraId="59917988" w14:textId="54641146" w:rsidR="00A11399" w:rsidRPr="00A11399" w:rsidRDefault="00A11399" w:rsidP="001F56B4">
      <w:pPr>
        <w:jc w:val="both"/>
      </w:pPr>
      <w:r w:rsidRPr="00A11399">
        <w:t>PER QUESTI MOTIVI</w:t>
      </w:r>
    </w:p>
    <w:p w14:paraId="3CF031BF" w14:textId="77777777" w:rsidR="00A11399" w:rsidRPr="00A11399" w:rsidRDefault="00A11399" w:rsidP="001F56B4">
      <w:pPr>
        <w:jc w:val="both"/>
      </w:pPr>
      <w:r w:rsidRPr="00A11399">
        <w:t>LA CORTE COSTITUZIONALE</w:t>
      </w:r>
    </w:p>
    <w:p w14:paraId="65B12FF8" w14:textId="77777777" w:rsidR="00A11399" w:rsidRPr="00A11399" w:rsidRDefault="00A11399" w:rsidP="001F56B4">
      <w:pPr>
        <w:jc w:val="both"/>
      </w:pPr>
      <w:r w:rsidRPr="00A11399">
        <w:t>riservata a separate pronunce la decisione delle altre questioni di illegittimità costituzionale promosse dalla Regione Veneto con il ricorso indicato in epigrafe; </w:t>
      </w:r>
    </w:p>
    <w:p w14:paraId="598A3727" w14:textId="77777777" w:rsidR="00A11399" w:rsidRPr="00A11399" w:rsidRDefault="00A11399" w:rsidP="001F56B4">
      <w:pPr>
        <w:jc w:val="both"/>
      </w:pPr>
      <w:r w:rsidRPr="00A11399">
        <w:rPr>
          <w:i/>
          <w:iCs/>
        </w:rPr>
        <w:t>dichiara</w:t>
      </w:r>
      <w:r w:rsidRPr="00A11399">
        <w:t> l’illegittimità costituzionale dell’art. 2, comma 194, della legge 24 dicembre 2007, n. 244 (Disposizioni per la formazione del bilancio annuale e pluriennale dello Stato - legge finanziaria 2008), nella parte in cui stabilisce che i regolamenti da esso previsti siano adottati «sentita la Conferenza permanente per i rapporti tra lo Stato, le regioni e le province autonome di Trento e di Bolzano», invece che «d’intesa con la Conferenza permanente per i rapporti tra lo Stato, le Regioni e le Province autonome di Trento e di Bolzano»;</w:t>
      </w:r>
    </w:p>
    <w:p w14:paraId="2672A8E3" w14:textId="77777777" w:rsidR="00A11399" w:rsidRPr="00A11399" w:rsidRDefault="00A11399" w:rsidP="001F56B4">
      <w:pPr>
        <w:jc w:val="both"/>
      </w:pPr>
      <w:r w:rsidRPr="00A11399">
        <w:rPr>
          <w:i/>
          <w:iCs/>
        </w:rPr>
        <w:t>dichiara</w:t>
      </w:r>
      <w:r w:rsidRPr="00A11399">
        <w:t> non fondata la questione di legittimità costituzionale dell’art. 2, comma 195, della legge n. 244 del 2007, sollevata, in riferimento agli artt. 117, 118 e 120 della Costituzione ed al principio di leale collaborazione, dalla Regione Veneto con il ricorso indicato in epigrafe.</w:t>
      </w:r>
    </w:p>
    <w:p w14:paraId="17C5DE84" w14:textId="77777777" w:rsidR="00A11399" w:rsidRPr="00A11399" w:rsidRDefault="00A11399" w:rsidP="001F56B4">
      <w:pPr>
        <w:jc w:val="both"/>
      </w:pPr>
      <w:r w:rsidRPr="00A11399">
        <w:t>Così deciso in Roma, nella sede della Corte costituzionale, Palazzo della Consulta, l'11 marzo 2009.</w:t>
      </w:r>
    </w:p>
    <w:p w14:paraId="1CF61D76" w14:textId="77777777" w:rsidR="00A11399" w:rsidRPr="00A11399" w:rsidRDefault="00A11399" w:rsidP="001F56B4">
      <w:pPr>
        <w:jc w:val="both"/>
      </w:pPr>
      <w:r w:rsidRPr="00A11399">
        <w:t>F.to:</w:t>
      </w:r>
    </w:p>
    <w:p w14:paraId="28D4F17D" w14:textId="77777777" w:rsidR="00A11399" w:rsidRPr="00A11399" w:rsidRDefault="00A11399" w:rsidP="001F56B4">
      <w:pPr>
        <w:jc w:val="both"/>
      </w:pPr>
      <w:r w:rsidRPr="00A11399">
        <w:t>Francesco AMIRANTE, Presidente</w:t>
      </w:r>
    </w:p>
    <w:p w14:paraId="0C41160A" w14:textId="77777777" w:rsidR="00A11399" w:rsidRPr="00A11399" w:rsidRDefault="00A11399" w:rsidP="001F56B4">
      <w:pPr>
        <w:jc w:val="both"/>
      </w:pPr>
      <w:r w:rsidRPr="00A11399">
        <w:t>Luigi MAZZELLA, Redattore</w:t>
      </w:r>
    </w:p>
    <w:p w14:paraId="37F73801" w14:textId="77777777" w:rsidR="00A11399" w:rsidRPr="00A11399" w:rsidRDefault="00A11399" w:rsidP="001F56B4">
      <w:pPr>
        <w:jc w:val="both"/>
      </w:pPr>
      <w:r w:rsidRPr="00A11399">
        <w:t>Giuseppe DI PAOLA, Cancelliere</w:t>
      </w:r>
    </w:p>
    <w:p w14:paraId="222C44F3" w14:textId="77777777" w:rsidR="00A11399" w:rsidRPr="00A11399" w:rsidRDefault="00A11399" w:rsidP="001F56B4">
      <w:pPr>
        <w:jc w:val="both"/>
      </w:pPr>
      <w:r w:rsidRPr="00A11399">
        <w:t>Depositata in Cancelleria il 20 marzo 2009.</w:t>
      </w:r>
    </w:p>
    <w:p w14:paraId="175DD5CD" w14:textId="77777777" w:rsidR="00A11399" w:rsidRPr="00A11399" w:rsidRDefault="00A11399" w:rsidP="001F56B4">
      <w:pPr>
        <w:jc w:val="both"/>
      </w:pPr>
      <w:r w:rsidRPr="00A11399">
        <w:t> </w:t>
      </w:r>
    </w:p>
    <w:p w14:paraId="05DFE3CE" w14:textId="77777777" w:rsidR="00A11399" w:rsidRPr="00A11399" w:rsidRDefault="00A11399" w:rsidP="001F56B4">
      <w:pPr>
        <w:jc w:val="both"/>
      </w:pPr>
      <w:r w:rsidRPr="00A11399">
        <w:t> </w:t>
      </w:r>
    </w:p>
    <w:p w14:paraId="79331080" w14:textId="77777777" w:rsidR="00A11399" w:rsidRPr="00A11399" w:rsidRDefault="00A11399" w:rsidP="001F56B4">
      <w:pPr>
        <w:jc w:val="both"/>
        <w:rPr>
          <w:b/>
          <w:bCs/>
        </w:rPr>
      </w:pPr>
      <w:r w:rsidRPr="00A11399">
        <w:rPr>
          <w:b/>
          <w:bCs/>
        </w:rPr>
        <w:t>CONSULTA ONLINE dal 1995 - </w:t>
      </w:r>
      <w:hyperlink r:id="rId11" w:history="1">
        <w:r w:rsidRPr="00A11399">
          <w:rPr>
            <w:rStyle w:val="Collegamentoipertestuale"/>
            <w:b/>
            <w:bCs/>
          </w:rPr>
          <w:t>Note legali</w:t>
        </w:r>
      </w:hyperlink>
    </w:p>
    <w:p w14:paraId="370D0752" w14:textId="77777777" w:rsidR="00A11399" w:rsidRPr="00A11399" w:rsidRDefault="00A11399" w:rsidP="001F56B4">
      <w:pPr>
        <w:jc w:val="both"/>
      </w:pPr>
      <w:r w:rsidRPr="00A11399">
        <w:t>Consulta OnLine non ha prodotto e non è responsabile per i contenuti e le informazioni legali di siti collegati.</w:t>
      </w:r>
    </w:p>
    <w:p w14:paraId="09DEA258" w14:textId="77777777" w:rsidR="00A11399" w:rsidRPr="00A11399" w:rsidRDefault="00A11399" w:rsidP="001F56B4">
      <w:pPr>
        <w:jc w:val="both"/>
      </w:pPr>
      <w:r w:rsidRPr="00A11399">
        <w:t>La consultazione di questi o del materiale contenuto nel sito non costituisce una relazione di consulenza legale.</w:t>
      </w:r>
    </w:p>
    <w:p w14:paraId="3D06BD5F" w14:textId="77777777" w:rsidR="00A11399" w:rsidRPr="00A11399" w:rsidRDefault="00A11399" w:rsidP="001F56B4">
      <w:pPr>
        <w:jc w:val="both"/>
      </w:pPr>
      <w:r w:rsidRPr="00A11399">
        <w:t>Nessuno deve confidare o agire in base alle informazioni disponibili in questo sito senza una consulenza legale professionale.</w:t>
      </w:r>
    </w:p>
    <w:p w14:paraId="469BB037" w14:textId="77777777" w:rsidR="00A11399" w:rsidRPr="00A11399" w:rsidRDefault="00A11399" w:rsidP="001F56B4">
      <w:pPr>
        <w:jc w:val="both"/>
      </w:pPr>
      <w:hyperlink r:id="rId12" w:history="1">
        <w:r w:rsidRPr="00A11399">
          <w:rPr>
            <w:rStyle w:val="Collegamentoipertestuale"/>
          </w:rPr>
          <w:t> info@giurcost.org</w:t>
        </w:r>
      </w:hyperlink>
      <w:r w:rsidRPr="00A11399">
        <w:t> | </w:t>
      </w:r>
      <w:hyperlink r:id="rId13" w:tgtFrame="_blank" w:history="1">
        <w:r w:rsidRPr="00A11399">
          <w:rPr>
            <w:rStyle w:val="Collegamentoipertestuale"/>
          </w:rPr>
          <w:t> Giurisprudenza Costituzionale</w:t>
        </w:r>
      </w:hyperlink>
      <w:r w:rsidRPr="00A11399">
        <w:t> | </w:t>
      </w:r>
      <w:hyperlink r:id="rId14" w:tgtFrame="_blank" w:history="1">
        <w:r w:rsidRPr="00A11399">
          <w:rPr>
            <w:rStyle w:val="Collegamentoipertestuale"/>
          </w:rPr>
          <w:t> Consult</w:t>
        </w:r>
      </w:hyperlink>
    </w:p>
    <w:p w14:paraId="2FE65E75" w14:textId="77777777" w:rsidR="00B50B1F" w:rsidRDefault="00B50B1F" w:rsidP="001F56B4">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48A1"/>
    <w:rsid w:val="001F56B4"/>
    <w:rsid w:val="00812ACF"/>
    <w:rsid w:val="00835AE8"/>
    <w:rsid w:val="00A11399"/>
    <w:rsid w:val="00B50B1F"/>
    <w:rsid w:val="00C248A1"/>
    <w:rsid w:val="00E641C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94808"/>
  <w15:chartTrackingRefBased/>
  <w15:docId w15:val="{A5ECEC44-83EF-4272-A66E-77D8666EA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248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248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248A1"/>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248A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248A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248A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248A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248A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248A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248A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248A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248A1"/>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248A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248A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248A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248A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248A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248A1"/>
    <w:rPr>
      <w:rFonts w:eastAsiaTheme="majorEastAsia" w:cstheme="majorBidi"/>
      <w:color w:val="272727" w:themeColor="text1" w:themeTint="D8"/>
    </w:rPr>
  </w:style>
  <w:style w:type="paragraph" w:styleId="Titolo">
    <w:name w:val="Title"/>
    <w:basedOn w:val="Normale"/>
    <w:next w:val="Normale"/>
    <w:link w:val="TitoloCarattere"/>
    <w:uiPriority w:val="10"/>
    <w:qFormat/>
    <w:rsid w:val="00C248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248A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248A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248A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248A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248A1"/>
    <w:rPr>
      <w:i/>
      <w:iCs/>
      <w:color w:val="404040" w:themeColor="text1" w:themeTint="BF"/>
    </w:rPr>
  </w:style>
  <w:style w:type="paragraph" w:styleId="Paragrafoelenco">
    <w:name w:val="List Paragraph"/>
    <w:basedOn w:val="Normale"/>
    <w:uiPriority w:val="34"/>
    <w:qFormat/>
    <w:rsid w:val="00C248A1"/>
    <w:pPr>
      <w:ind w:left="720"/>
      <w:contextualSpacing/>
    </w:pPr>
  </w:style>
  <w:style w:type="character" w:styleId="Enfasiintensa">
    <w:name w:val="Intense Emphasis"/>
    <w:basedOn w:val="Carpredefinitoparagrafo"/>
    <w:uiPriority w:val="21"/>
    <w:qFormat/>
    <w:rsid w:val="00C248A1"/>
    <w:rPr>
      <w:i/>
      <w:iCs/>
      <w:color w:val="0F4761" w:themeColor="accent1" w:themeShade="BF"/>
    </w:rPr>
  </w:style>
  <w:style w:type="paragraph" w:styleId="Citazioneintensa">
    <w:name w:val="Intense Quote"/>
    <w:basedOn w:val="Normale"/>
    <w:next w:val="Normale"/>
    <w:link w:val="CitazioneintensaCarattere"/>
    <w:uiPriority w:val="30"/>
    <w:qFormat/>
    <w:rsid w:val="00C248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248A1"/>
    <w:rPr>
      <w:i/>
      <w:iCs/>
      <w:color w:val="0F4761" w:themeColor="accent1" w:themeShade="BF"/>
    </w:rPr>
  </w:style>
  <w:style w:type="character" w:styleId="Riferimentointenso">
    <w:name w:val="Intense Reference"/>
    <w:basedOn w:val="Carpredefinitoparagrafo"/>
    <w:uiPriority w:val="32"/>
    <w:qFormat/>
    <w:rsid w:val="00C248A1"/>
    <w:rPr>
      <w:b/>
      <w:bCs/>
      <w:smallCaps/>
      <w:color w:val="0F4761" w:themeColor="accent1" w:themeShade="BF"/>
      <w:spacing w:val="5"/>
    </w:rPr>
  </w:style>
  <w:style w:type="character" w:styleId="Collegamentoipertestuale">
    <w:name w:val="Hyperlink"/>
    <w:basedOn w:val="Carpredefinitoparagrafo"/>
    <w:uiPriority w:val="99"/>
    <w:unhideWhenUsed/>
    <w:rsid w:val="00A11399"/>
    <w:rPr>
      <w:color w:val="467886" w:themeColor="hyperlink"/>
      <w:u w:val="single"/>
    </w:rPr>
  </w:style>
  <w:style w:type="character" w:styleId="Menzionenonrisolta">
    <w:name w:val="Unresolved Mention"/>
    <w:basedOn w:val="Carpredefinitoparagrafo"/>
    <w:uiPriority w:val="99"/>
    <w:semiHidden/>
    <w:unhideWhenUsed/>
    <w:rsid w:val="00A113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14245">
      <w:bodyDiv w:val="1"/>
      <w:marLeft w:val="0"/>
      <w:marRight w:val="0"/>
      <w:marTop w:val="0"/>
      <w:marBottom w:val="0"/>
      <w:divBdr>
        <w:top w:val="none" w:sz="0" w:space="0" w:color="auto"/>
        <w:left w:val="none" w:sz="0" w:space="0" w:color="auto"/>
        <w:bottom w:val="none" w:sz="0" w:space="0" w:color="auto"/>
        <w:right w:val="none" w:sz="0" w:space="0" w:color="auto"/>
      </w:divBdr>
      <w:divsChild>
        <w:div w:id="1157378530">
          <w:marLeft w:val="0"/>
          <w:marRight w:val="0"/>
          <w:marTop w:val="0"/>
          <w:marBottom w:val="1500"/>
          <w:divBdr>
            <w:top w:val="none" w:sz="0" w:space="0" w:color="auto"/>
            <w:left w:val="none" w:sz="0" w:space="0" w:color="auto"/>
            <w:bottom w:val="none" w:sz="0" w:space="0" w:color="auto"/>
            <w:right w:val="none" w:sz="0" w:space="0" w:color="auto"/>
          </w:divBdr>
          <w:divsChild>
            <w:div w:id="129203637">
              <w:marLeft w:val="-225"/>
              <w:marRight w:val="-225"/>
              <w:marTop w:val="0"/>
              <w:marBottom w:val="0"/>
              <w:divBdr>
                <w:top w:val="none" w:sz="0" w:space="0" w:color="auto"/>
                <w:left w:val="none" w:sz="0" w:space="0" w:color="auto"/>
                <w:bottom w:val="none" w:sz="0" w:space="0" w:color="auto"/>
                <w:right w:val="none" w:sz="0" w:space="0" w:color="auto"/>
              </w:divBdr>
              <w:divsChild>
                <w:div w:id="561213398">
                  <w:marLeft w:val="0"/>
                  <w:marRight w:val="0"/>
                  <w:marTop w:val="0"/>
                  <w:marBottom w:val="0"/>
                  <w:divBdr>
                    <w:top w:val="none" w:sz="0" w:space="0" w:color="auto"/>
                    <w:left w:val="none" w:sz="0" w:space="0" w:color="auto"/>
                    <w:bottom w:val="none" w:sz="0" w:space="0" w:color="auto"/>
                    <w:right w:val="none" w:sz="0" w:space="0" w:color="auto"/>
                  </w:divBdr>
                  <w:divsChild>
                    <w:div w:id="232669366">
                      <w:marLeft w:val="0"/>
                      <w:marRight w:val="0"/>
                      <w:marTop w:val="0"/>
                      <w:marBottom w:val="0"/>
                      <w:divBdr>
                        <w:top w:val="none" w:sz="0" w:space="0" w:color="auto"/>
                        <w:left w:val="none" w:sz="0" w:space="0" w:color="auto"/>
                        <w:bottom w:val="none" w:sz="0" w:space="0" w:color="auto"/>
                        <w:right w:val="none" w:sz="0" w:space="0" w:color="auto"/>
                      </w:divBdr>
                      <w:divsChild>
                        <w:div w:id="1373312582">
                          <w:marLeft w:val="0"/>
                          <w:marRight w:val="0"/>
                          <w:marTop w:val="0"/>
                          <w:marBottom w:val="0"/>
                          <w:divBdr>
                            <w:top w:val="none" w:sz="0" w:space="0" w:color="auto"/>
                            <w:left w:val="none" w:sz="0" w:space="0" w:color="auto"/>
                            <w:bottom w:val="none" w:sz="0" w:space="0" w:color="auto"/>
                            <w:right w:val="none" w:sz="0" w:space="0" w:color="auto"/>
                          </w:divBdr>
                          <w:divsChild>
                            <w:div w:id="184293810">
                              <w:marLeft w:val="0"/>
                              <w:marRight w:val="0"/>
                              <w:marTop w:val="0"/>
                              <w:marBottom w:val="0"/>
                              <w:divBdr>
                                <w:top w:val="none" w:sz="0" w:space="0" w:color="auto"/>
                                <w:left w:val="none" w:sz="0" w:space="0" w:color="auto"/>
                                <w:bottom w:val="none" w:sz="0" w:space="0" w:color="auto"/>
                                <w:right w:val="none" w:sz="0" w:space="0" w:color="auto"/>
                              </w:divBdr>
                              <w:divsChild>
                                <w:div w:id="144946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2454188">
          <w:marLeft w:val="0"/>
          <w:marRight w:val="0"/>
          <w:marTop w:val="0"/>
          <w:marBottom w:val="0"/>
          <w:divBdr>
            <w:top w:val="none" w:sz="0" w:space="0" w:color="auto"/>
            <w:left w:val="none" w:sz="0" w:space="0" w:color="auto"/>
            <w:bottom w:val="none" w:sz="0" w:space="0" w:color="auto"/>
            <w:right w:val="none" w:sz="0" w:space="0" w:color="auto"/>
          </w:divBdr>
          <w:divsChild>
            <w:div w:id="1514105825">
              <w:marLeft w:val="-225"/>
              <w:marRight w:val="-225"/>
              <w:marTop w:val="0"/>
              <w:marBottom w:val="0"/>
              <w:divBdr>
                <w:top w:val="none" w:sz="0" w:space="0" w:color="auto"/>
                <w:left w:val="none" w:sz="0" w:space="0" w:color="auto"/>
                <w:bottom w:val="none" w:sz="0" w:space="0" w:color="auto"/>
                <w:right w:val="none" w:sz="0" w:space="0" w:color="auto"/>
              </w:divBdr>
              <w:divsChild>
                <w:div w:id="132281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35337">
      <w:bodyDiv w:val="1"/>
      <w:marLeft w:val="0"/>
      <w:marRight w:val="0"/>
      <w:marTop w:val="0"/>
      <w:marBottom w:val="0"/>
      <w:divBdr>
        <w:top w:val="none" w:sz="0" w:space="0" w:color="auto"/>
        <w:left w:val="none" w:sz="0" w:space="0" w:color="auto"/>
        <w:bottom w:val="none" w:sz="0" w:space="0" w:color="auto"/>
        <w:right w:val="none" w:sz="0" w:space="0" w:color="auto"/>
      </w:divBdr>
      <w:divsChild>
        <w:div w:id="1379935554">
          <w:marLeft w:val="0"/>
          <w:marRight w:val="0"/>
          <w:marTop w:val="0"/>
          <w:marBottom w:val="1500"/>
          <w:divBdr>
            <w:top w:val="none" w:sz="0" w:space="0" w:color="auto"/>
            <w:left w:val="none" w:sz="0" w:space="0" w:color="auto"/>
            <w:bottom w:val="none" w:sz="0" w:space="0" w:color="auto"/>
            <w:right w:val="none" w:sz="0" w:space="0" w:color="auto"/>
          </w:divBdr>
          <w:divsChild>
            <w:div w:id="259489526">
              <w:marLeft w:val="-225"/>
              <w:marRight w:val="-225"/>
              <w:marTop w:val="0"/>
              <w:marBottom w:val="0"/>
              <w:divBdr>
                <w:top w:val="none" w:sz="0" w:space="0" w:color="auto"/>
                <w:left w:val="none" w:sz="0" w:space="0" w:color="auto"/>
                <w:bottom w:val="none" w:sz="0" w:space="0" w:color="auto"/>
                <w:right w:val="none" w:sz="0" w:space="0" w:color="auto"/>
              </w:divBdr>
              <w:divsChild>
                <w:div w:id="1162624398">
                  <w:marLeft w:val="0"/>
                  <w:marRight w:val="0"/>
                  <w:marTop w:val="0"/>
                  <w:marBottom w:val="0"/>
                  <w:divBdr>
                    <w:top w:val="none" w:sz="0" w:space="0" w:color="auto"/>
                    <w:left w:val="none" w:sz="0" w:space="0" w:color="auto"/>
                    <w:bottom w:val="none" w:sz="0" w:space="0" w:color="auto"/>
                    <w:right w:val="none" w:sz="0" w:space="0" w:color="auto"/>
                  </w:divBdr>
                  <w:divsChild>
                    <w:div w:id="1282960750">
                      <w:marLeft w:val="0"/>
                      <w:marRight w:val="0"/>
                      <w:marTop w:val="0"/>
                      <w:marBottom w:val="0"/>
                      <w:divBdr>
                        <w:top w:val="none" w:sz="0" w:space="0" w:color="auto"/>
                        <w:left w:val="none" w:sz="0" w:space="0" w:color="auto"/>
                        <w:bottom w:val="none" w:sz="0" w:space="0" w:color="auto"/>
                        <w:right w:val="none" w:sz="0" w:space="0" w:color="auto"/>
                      </w:divBdr>
                      <w:divsChild>
                        <w:div w:id="866910513">
                          <w:marLeft w:val="0"/>
                          <w:marRight w:val="0"/>
                          <w:marTop w:val="0"/>
                          <w:marBottom w:val="0"/>
                          <w:divBdr>
                            <w:top w:val="none" w:sz="0" w:space="0" w:color="auto"/>
                            <w:left w:val="none" w:sz="0" w:space="0" w:color="auto"/>
                            <w:bottom w:val="none" w:sz="0" w:space="0" w:color="auto"/>
                            <w:right w:val="none" w:sz="0" w:space="0" w:color="auto"/>
                          </w:divBdr>
                          <w:divsChild>
                            <w:div w:id="744691628">
                              <w:marLeft w:val="0"/>
                              <w:marRight w:val="0"/>
                              <w:marTop w:val="0"/>
                              <w:marBottom w:val="0"/>
                              <w:divBdr>
                                <w:top w:val="none" w:sz="0" w:space="0" w:color="auto"/>
                                <w:left w:val="none" w:sz="0" w:space="0" w:color="auto"/>
                                <w:bottom w:val="none" w:sz="0" w:space="0" w:color="auto"/>
                                <w:right w:val="none" w:sz="0" w:space="0" w:color="auto"/>
                              </w:divBdr>
                              <w:divsChild>
                                <w:div w:id="104216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4072566">
          <w:marLeft w:val="0"/>
          <w:marRight w:val="0"/>
          <w:marTop w:val="0"/>
          <w:marBottom w:val="0"/>
          <w:divBdr>
            <w:top w:val="none" w:sz="0" w:space="0" w:color="auto"/>
            <w:left w:val="none" w:sz="0" w:space="0" w:color="auto"/>
            <w:bottom w:val="none" w:sz="0" w:space="0" w:color="auto"/>
            <w:right w:val="none" w:sz="0" w:space="0" w:color="auto"/>
          </w:divBdr>
          <w:divsChild>
            <w:div w:id="1128626049">
              <w:marLeft w:val="-225"/>
              <w:marRight w:val="-225"/>
              <w:marTop w:val="0"/>
              <w:marBottom w:val="0"/>
              <w:divBdr>
                <w:top w:val="none" w:sz="0" w:space="0" w:color="auto"/>
                <w:left w:val="none" w:sz="0" w:space="0" w:color="auto"/>
                <w:bottom w:val="none" w:sz="0" w:space="0" w:color="auto"/>
                <w:right w:val="none" w:sz="0" w:space="0" w:color="auto"/>
              </w:divBdr>
              <w:divsChild>
                <w:div w:id="205122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06/0090s-06.html" TargetMode="External"/><Relationship Id="rId13" Type="http://schemas.openxmlformats.org/officeDocument/2006/relationships/hyperlink" Target="https://www.facebook.com/giurisprudenza.costituzionale/" TargetMode="External"/><Relationship Id="rId3" Type="http://schemas.openxmlformats.org/officeDocument/2006/relationships/webSettings" Target="webSettings.xml"/><Relationship Id="rId7" Type="http://schemas.openxmlformats.org/officeDocument/2006/relationships/hyperlink" Target="https://giurcost.org/decisioni/2006/0214s-06.html" TargetMode="External"/><Relationship Id="rId12" Type="http://schemas.openxmlformats.org/officeDocument/2006/relationships/hyperlink" Target="mailto:info@giurcost.org"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iurcost.org/decisioni/2008/0094s-08.html" TargetMode="External"/><Relationship Id="rId11" Type="http://schemas.openxmlformats.org/officeDocument/2006/relationships/hyperlink" Target="https://giurcost.org/redazione/NOTE%20LEGALI.htm" TargetMode="External"/><Relationship Id="rId5" Type="http://schemas.openxmlformats.org/officeDocument/2006/relationships/hyperlink" Target="http://www.forumcostituzionale.it/" TargetMode="External"/><Relationship Id="rId15" Type="http://schemas.openxmlformats.org/officeDocument/2006/relationships/fontTable" Target="fontTable.xml"/><Relationship Id="rId10" Type="http://schemas.openxmlformats.org/officeDocument/2006/relationships/hyperlink" Target="https://giurcost.org/decisioni/2006/0214s-06.html" TargetMode="External"/><Relationship Id="rId4" Type="http://schemas.openxmlformats.org/officeDocument/2006/relationships/hyperlink" Target="http://www.forumcostituzionale.it/wordpress/images/stories/pdf/documenti_forum/giurisprudenza/2009/0008_nota_76_2009_di_cosimo.pdf" TargetMode="External"/><Relationship Id="rId9" Type="http://schemas.openxmlformats.org/officeDocument/2006/relationships/hyperlink" Target="https://giurcost.org/decisioni/2007/0088s-07.html" TargetMode="External"/><Relationship Id="rId14" Type="http://schemas.openxmlformats.org/officeDocument/2006/relationships/hyperlink" Target="https://www.facebook.com/Consulta-OnLine-314589057335/"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1498</Words>
  <Characters>8543</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4</cp:revision>
  <dcterms:created xsi:type="dcterms:W3CDTF">2025-10-09T16:58:00Z</dcterms:created>
  <dcterms:modified xsi:type="dcterms:W3CDTF">2025-10-15T17:50:00Z</dcterms:modified>
</cp:coreProperties>
</file>