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575193" w14:textId="77777777" w:rsidR="008906AE" w:rsidRPr="008906AE" w:rsidRDefault="008906AE" w:rsidP="008906AE">
      <w:pPr>
        <w:jc w:val="both"/>
      </w:pPr>
      <w:r w:rsidRPr="008906AE">
        <w:t>SENTENZA N. 106</w:t>
      </w:r>
    </w:p>
    <w:p w14:paraId="2EE13E0F" w14:textId="77777777" w:rsidR="008906AE" w:rsidRPr="008906AE" w:rsidRDefault="008906AE" w:rsidP="008906AE">
      <w:pPr>
        <w:jc w:val="both"/>
      </w:pPr>
      <w:r w:rsidRPr="008906AE">
        <w:t>ANNO 2002</w:t>
      </w:r>
    </w:p>
    <w:p w14:paraId="12168E22" w14:textId="77777777" w:rsidR="008906AE" w:rsidRPr="008906AE" w:rsidRDefault="008906AE" w:rsidP="008906AE">
      <w:pPr>
        <w:jc w:val="both"/>
      </w:pPr>
      <w:r w:rsidRPr="008906AE">
        <w:t> </w:t>
      </w:r>
    </w:p>
    <w:p w14:paraId="2AED6516" w14:textId="77777777" w:rsidR="008906AE" w:rsidRPr="008906AE" w:rsidRDefault="008906AE" w:rsidP="008906AE">
      <w:pPr>
        <w:jc w:val="both"/>
      </w:pPr>
      <w:r w:rsidRPr="008906AE">
        <w:t>REPUBBLICA ITALIANA</w:t>
      </w:r>
    </w:p>
    <w:p w14:paraId="704BD255" w14:textId="77777777" w:rsidR="008906AE" w:rsidRPr="008906AE" w:rsidRDefault="008906AE" w:rsidP="008906AE">
      <w:pPr>
        <w:jc w:val="both"/>
      </w:pPr>
      <w:r w:rsidRPr="008906AE">
        <w:t>IN NOME DEL POPOLO ITALIANO</w:t>
      </w:r>
    </w:p>
    <w:p w14:paraId="27D102D0" w14:textId="77777777" w:rsidR="008906AE" w:rsidRPr="008906AE" w:rsidRDefault="008906AE" w:rsidP="008906AE">
      <w:pPr>
        <w:jc w:val="both"/>
      </w:pPr>
      <w:r w:rsidRPr="008906AE">
        <w:t>LA CORTE COSTITUZIONALE</w:t>
      </w:r>
    </w:p>
    <w:p w14:paraId="1865A9D3" w14:textId="77777777" w:rsidR="008906AE" w:rsidRPr="008906AE" w:rsidRDefault="008906AE" w:rsidP="008906AE">
      <w:pPr>
        <w:jc w:val="both"/>
      </w:pPr>
      <w:r w:rsidRPr="008906AE">
        <w:t>composta dai signori Giudici:</w:t>
      </w:r>
    </w:p>
    <w:p w14:paraId="0F30C957" w14:textId="77777777" w:rsidR="008906AE" w:rsidRPr="008906AE" w:rsidRDefault="008906AE" w:rsidP="008906AE">
      <w:pPr>
        <w:jc w:val="both"/>
      </w:pPr>
      <w:r w:rsidRPr="008906AE">
        <w:t>- Cesare RUPERTO, Presidente</w:t>
      </w:r>
    </w:p>
    <w:p w14:paraId="5DA8BF3C" w14:textId="77777777" w:rsidR="008906AE" w:rsidRPr="008906AE" w:rsidRDefault="008906AE" w:rsidP="008906AE">
      <w:pPr>
        <w:jc w:val="both"/>
      </w:pPr>
      <w:r w:rsidRPr="008906AE">
        <w:t>- Massimo VARI              </w:t>
      </w:r>
    </w:p>
    <w:p w14:paraId="2DBD3637" w14:textId="77777777" w:rsidR="008906AE" w:rsidRPr="008906AE" w:rsidRDefault="008906AE" w:rsidP="008906AE">
      <w:pPr>
        <w:jc w:val="both"/>
      </w:pPr>
      <w:r w:rsidRPr="008906AE">
        <w:t>- Riccardo CHIEPPA                  </w:t>
      </w:r>
    </w:p>
    <w:p w14:paraId="4ED5B884" w14:textId="77777777" w:rsidR="008906AE" w:rsidRPr="008906AE" w:rsidRDefault="008906AE" w:rsidP="008906AE">
      <w:pPr>
        <w:jc w:val="both"/>
      </w:pPr>
      <w:r w:rsidRPr="008906AE">
        <w:t>- Gustavo ZAGREBELSKY       </w:t>
      </w:r>
    </w:p>
    <w:p w14:paraId="7814864D" w14:textId="77777777" w:rsidR="008906AE" w:rsidRPr="008906AE" w:rsidRDefault="008906AE" w:rsidP="008906AE">
      <w:pPr>
        <w:jc w:val="both"/>
      </w:pPr>
      <w:r w:rsidRPr="008906AE">
        <w:t>- Valerio ONIDA             </w:t>
      </w:r>
    </w:p>
    <w:p w14:paraId="46713CD2" w14:textId="77777777" w:rsidR="008906AE" w:rsidRPr="008906AE" w:rsidRDefault="008906AE" w:rsidP="008906AE">
      <w:pPr>
        <w:jc w:val="both"/>
      </w:pPr>
      <w:r w:rsidRPr="008906AE">
        <w:t>- Carlo MEZZANOTTE  </w:t>
      </w:r>
    </w:p>
    <w:p w14:paraId="01372015" w14:textId="77777777" w:rsidR="008906AE" w:rsidRPr="008906AE" w:rsidRDefault="008906AE" w:rsidP="008906AE">
      <w:pPr>
        <w:jc w:val="both"/>
      </w:pPr>
      <w:r w:rsidRPr="008906AE">
        <w:t>- Fernanda CONTRI                    </w:t>
      </w:r>
    </w:p>
    <w:p w14:paraId="3AD6664C" w14:textId="77777777" w:rsidR="008906AE" w:rsidRPr="008906AE" w:rsidRDefault="008906AE" w:rsidP="008906AE">
      <w:pPr>
        <w:jc w:val="both"/>
      </w:pPr>
      <w:r w:rsidRPr="008906AE">
        <w:t>- Guido NEPPI MODONA         </w:t>
      </w:r>
    </w:p>
    <w:p w14:paraId="4E1F52F1" w14:textId="77777777" w:rsidR="008906AE" w:rsidRPr="008906AE" w:rsidRDefault="008906AE" w:rsidP="008906AE">
      <w:pPr>
        <w:jc w:val="both"/>
      </w:pPr>
      <w:r w:rsidRPr="008906AE">
        <w:t>- Piero Alberto CAPOTOSTI      </w:t>
      </w:r>
    </w:p>
    <w:p w14:paraId="22BDCAFC" w14:textId="77777777" w:rsidR="008906AE" w:rsidRPr="008906AE" w:rsidRDefault="008906AE" w:rsidP="008906AE">
      <w:pPr>
        <w:jc w:val="both"/>
      </w:pPr>
      <w:r w:rsidRPr="008906AE">
        <w:t>- Annibale MARINI                    </w:t>
      </w:r>
    </w:p>
    <w:p w14:paraId="6620DA72" w14:textId="77777777" w:rsidR="008906AE" w:rsidRPr="008906AE" w:rsidRDefault="008906AE" w:rsidP="008906AE">
      <w:pPr>
        <w:jc w:val="both"/>
      </w:pPr>
      <w:r w:rsidRPr="008906AE">
        <w:t>- Franco BILE                              </w:t>
      </w:r>
    </w:p>
    <w:p w14:paraId="15692A66" w14:textId="77777777" w:rsidR="008906AE" w:rsidRPr="008906AE" w:rsidRDefault="008906AE" w:rsidP="008906AE">
      <w:pPr>
        <w:jc w:val="both"/>
      </w:pPr>
      <w:r w:rsidRPr="008906AE">
        <w:t>- Giovanni Maria FLICK             </w:t>
      </w:r>
    </w:p>
    <w:p w14:paraId="7E8C3C81" w14:textId="77777777" w:rsidR="008906AE" w:rsidRPr="008906AE" w:rsidRDefault="008906AE" w:rsidP="008906AE">
      <w:pPr>
        <w:jc w:val="both"/>
      </w:pPr>
      <w:r w:rsidRPr="008906AE">
        <w:t>- Francesco AMIRANTE            </w:t>
      </w:r>
    </w:p>
    <w:p w14:paraId="64FA1C91" w14:textId="77777777" w:rsidR="008906AE" w:rsidRPr="008906AE" w:rsidRDefault="008906AE" w:rsidP="008906AE">
      <w:pPr>
        <w:jc w:val="both"/>
      </w:pPr>
      <w:r w:rsidRPr="008906AE">
        <w:t>ha pronunciato la seguente</w:t>
      </w:r>
    </w:p>
    <w:p w14:paraId="6A26E2AE" w14:textId="77777777" w:rsidR="008906AE" w:rsidRPr="008906AE" w:rsidRDefault="008906AE" w:rsidP="008906AE">
      <w:pPr>
        <w:jc w:val="both"/>
      </w:pPr>
      <w:r w:rsidRPr="008906AE">
        <w:t>SENTENZA</w:t>
      </w:r>
    </w:p>
    <w:p w14:paraId="64195103" w14:textId="11A15342" w:rsidR="00290ECD" w:rsidRPr="00290ECD" w:rsidRDefault="00290ECD" w:rsidP="008906AE">
      <w:pPr>
        <w:jc w:val="both"/>
      </w:pPr>
      <w:r>
        <w:t>[…]</w:t>
      </w:r>
    </w:p>
    <w:p w14:paraId="046C40D0" w14:textId="1540701A" w:rsidR="008906AE" w:rsidRPr="008906AE" w:rsidRDefault="008906AE" w:rsidP="008906AE">
      <w:pPr>
        <w:jc w:val="both"/>
      </w:pPr>
      <w:r w:rsidRPr="008906AE">
        <w:rPr>
          <w:i/>
          <w:iCs/>
        </w:rPr>
        <w:t>Considerato in diritto</w:t>
      </w:r>
    </w:p>
    <w:p w14:paraId="47FF293A" w14:textId="77777777" w:rsidR="008906AE" w:rsidRPr="00290ECD" w:rsidRDefault="008906AE" w:rsidP="008906AE">
      <w:pPr>
        <w:jc w:val="both"/>
        <w:rPr>
          <w:b/>
          <w:bCs/>
        </w:rPr>
      </w:pPr>
      <w:r w:rsidRPr="00290ECD">
        <w:rPr>
          <w:b/>
          <w:bCs/>
        </w:rPr>
        <w:t>1. Il Presidente del Consiglio dei ministri ha proposto ricorso per conflitto di attribuzione, in riferimento agli articoli 1, 5, 55, 115 (articolo abrogato dall’art. 9, comma 2, della legge costituzionale 18 ottobre 2001, n. 3) e 121 della Costituzione avverso la delibera n. 62 del 15 dicembre 2000, con la quale il Consiglio regionale della Liguria, da un lato ha disposto che in tutti i propri atti la dizione "Consiglio regionale" sia affiancata da quella di "</w:t>
      </w:r>
      <w:r w:rsidRPr="00290ECD">
        <w:rPr>
          <w:b/>
          <w:bCs/>
          <w:u w:val="single"/>
        </w:rPr>
        <w:t>Parlamento della Liguria</w:t>
      </w:r>
      <w:r w:rsidRPr="00290ECD">
        <w:rPr>
          <w:b/>
          <w:bCs/>
        </w:rPr>
        <w:t>"; dall’altro ha indirizzato alla Commissione statuto la direttiva di tenere conto di tale denominazione in sede di elaborazione del nuovo statuto regionale.</w:t>
      </w:r>
    </w:p>
    <w:p w14:paraId="22DD82B8" w14:textId="77777777" w:rsidR="008906AE" w:rsidRPr="00290ECD" w:rsidRDefault="008906AE" w:rsidP="008906AE">
      <w:pPr>
        <w:jc w:val="both"/>
        <w:rPr>
          <w:b/>
          <w:bCs/>
        </w:rPr>
      </w:pPr>
      <w:r w:rsidRPr="00290ECD">
        <w:rPr>
          <w:b/>
          <w:bCs/>
        </w:rPr>
        <w:t>2. Il ricorso deve essere accolto.</w:t>
      </w:r>
    </w:p>
    <w:p w14:paraId="26EC8EDC" w14:textId="77777777" w:rsidR="008906AE" w:rsidRPr="00290ECD" w:rsidRDefault="008906AE" w:rsidP="008906AE">
      <w:pPr>
        <w:jc w:val="both"/>
        <w:rPr>
          <w:b/>
          <w:bCs/>
        </w:rPr>
      </w:pPr>
      <w:r w:rsidRPr="00290ECD">
        <w:rPr>
          <w:b/>
          <w:bCs/>
        </w:rPr>
        <w:t xml:space="preserve">Già un approccio puramente testuale al tema oggetto del conflitto induce a nutrire forti dubbi sulla conformità a Costituzione della deliberazione impugnata. </w:t>
      </w:r>
      <w:r w:rsidRPr="00290ECD">
        <w:rPr>
          <w:b/>
          <w:bCs/>
          <w:u w:val="single"/>
        </w:rPr>
        <w:t>Il termine "Parlamento</w:t>
      </w:r>
      <w:r w:rsidRPr="00290ECD">
        <w:rPr>
          <w:b/>
          <w:bCs/>
        </w:rPr>
        <w:t xml:space="preserve">", che apre il Titolo I, Parte II, della Costituzione, si riferisce, ai sensi dell’art. 55, ai due organi che lo </w:t>
      </w:r>
      <w:r w:rsidRPr="00290ECD">
        <w:rPr>
          <w:b/>
          <w:bCs/>
        </w:rPr>
        <w:lastRenderedPageBreak/>
        <w:t>compongono: la Camera dei deputati e il Senato della Repubblica. L’art. 121 della Costituzione denomina invece Consiglio regionale l’organo che esercita le potestà legislative attribuite alla Regione e le altre funzioni che la Costituzione e le leggi gli conferiscono.</w:t>
      </w:r>
    </w:p>
    <w:p w14:paraId="5C31425F" w14:textId="77777777" w:rsidR="008906AE" w:rsidRPr="00290ECD" w:rsidRDefault="008906AE" w:rsidP="008906AE">
      <w:pPr>
        <w:jc w:val="both"/>
        <w:rPr>
          <w:b/>
          <w:bCs/>
        </w:rPr>
      </w:pPr>
      <w:r w:rsidRPr="00290ECD">
        <w:rPr>
          <w:b/>
          <w:bCs/>
        </w:rPr>
        <w:t xml:space="preserve">L’argomento letterale, seppure non privo di valore, non può tuttavia essere considerato decisivo se non viene saggiato alla luce degli altri canoni della interpretazione costituzionale. Le stesse parti, del resto, hanno avvertito la necessità di spingersi al di là del dato testuale </w:t>
      </w:r>
      <w:proofErr w:type="spellStart"/>
      <w:r w:rsidRPr="00290ECD">
        <w:rPr>
          <w:b/>
          <w:bCs/>
        </w:rPr>
        <w:t>allorchè</w:t>
      </w:r>
      <w:proofErr w:type="spellEnd"/>
      <w:r w:rsidRPr="00290ECD">
        <w:rPr>
          <w:b/>
          <w:bCs/>
        </w:rPr>
        <w:t xml:space="preserve">, con opposti intendimenti, hanno addotto </w:t>
      </w:r>
      <w:r w:rsidRPr="00290ECD">
        <w:rPr>
          <w:b/>
          <w:bCs/>
          <w:u w:val="single"/>
        </w:rPr>
        <w:t>elementi storico-sistematici</w:t>
      </w:r>
      <w:r w:rsidRPr="00290ECD">
        <w:rPr>
          <w:b/>
          <w:bCs/>
        </w:rPr>
        <w:t xml:space="preserve"> per corroborarlo ovvero consentirne il superamento. L’Avvocatura dello Stato insiste sulla distinzione-contrapposizione tra </w:t>
      </w:r>
      <w:r w:rsidRPr="00840153">
        <w:rPr>
          <w:b/>
          <w:bCs/>
          <w:u w:val="single"/>
        </w:rPr>
        <w:t>sovranità popolare</w:t>
      </w:r>
      <w:r w:rsidRPr="00290ECD">
        <w:rPr>
          <w:b/>
          <w:bCs/>
        </w:rPr>
        <w:t xml:space="preserve">, della quale il solo Parlamento sarebbe espressione, </w:t>
      </w:r>
      <w:r w:rsidRPr="00840153">
        <w:rPr>
          <w:b/>
          <w:bCs/>
          <w:u w:val="single"/>
        </w:rPr>
        <w:t>e autonomia</w:t>
      </w:r>
      <w:r w:rsidRPr="00290ECD">
        <w:rPr>
          <w:b/>
          <w:bCs/>
        </w:rPr>
        <w:t xml:space="preserve">; la difesa della Regione, richiamandosi alla posizione di perfetta </w:t>
      </w:r>
      <w:proofErr w:type="spellStart"/>
      <w:r w:rsidRPr="00290ECD">
        <w:rPr>
          <w:b/>
          <w:bCs/>
        </w:rPr>
        <w:t>equiordinazione</w:t>
      </w:r>
      <w:proofErr w:type="spellEnd"/>
      <w:r w:rsidRPr="00290ECD">
        <w:rPr>
          <w:b/>
          <w:bCs/>
        </w:rPr>
        <w:t xml:space="preserve"> che, dopo le recenti riforme costituzionali, si sarebbe ormai realizzata tra Parlamento e Consigli regionali, ritiene che anche questi ultimi, da annoverare a pieno titolo tra le assemblee rappresentative, possano, per analogia, fregiarsi del nome Parlamento.</w:t>
      </w:r>
    </w:p>
    <w:p w14:paraId="68CC160B" w14:textId="09F37C8B" w:rsidR="008906AE" w:rsidRPr="008906AE" w:rsidRDefault="00840153" w:rsidP="008906AE">
      <w:pPr>
        <w:jc w:val="both"/>
      </w:pPr>
      <w:r w:rsidRPr="00290ECD">
        <w:rPr>
          <w:b/>
          <w:bCs/>
        </w:rPr>
        <w:t>È</w:t>
      </w:r>
      <w:r w:rsidR="008906AE" w:rsidRPr="00290ECD">
        <w:rPr>
          <w:b/>
          <w:bCs/>
        </w:rPr>
        <w:t xml:space="preserve"> su tali antagonistiche prospettazioni che questa Corte deve portare il proprio esame.</w:t>
      </w:r>
    </w:p>
    <w:p w14:paraId="78769489" w14:textId="77777777" w:rsidR="008906AE" w:rsidRPr="00E85DB3" w:rsidRDefault="008906AE" w:rsidP="008906AE">
      <w:pPr>
        <w:jc w:val="both"/>
        <w:rPr>
          <w:b/>
          <w:bCs/>
        </w:rPr>
      </w:pPr>
      <w:r w:rsidRPr="00E85DB3">
        <w:rPr>
          <w:b/>
          <w:bCs/>
        </w:rPr>
        <w:t xml:space="preserve">3. La difesa erariale, dunque, nel tentativo di rinvenire, al di là del dato testuale, una più profonda ragione costituzionale del carattere esclusivo della denominazione "Parlamento" attribuita alle assemblee legislative nazionali, pone l’accento sul fatto che siano queste </w:t>
      </w:r>
      <w:r w:rsidRPr="00E85DB3">
        <w:rPr>
          <w:b/>
          <w:bCs/>
          <w:u w:val="single"/>
        </w:rPr>
        <w:t>la sede esclusiva, o anche soltanto preminente, in cui prende forma la sovranità del popolo</w:t>
      </w:r>
      <w:r w:rsidRPr="00E85DB3">
        <w:rPr>
          <w:b/>
          <w:bCs/>
        </w:rPr>
        <w:t>.</w:t>
      </w:r>
    </w:p>
    <w:p w14:paraId="782D453A" w14:textId="77777777" w:rsidR="008906AE" w:rsidRPr="008F324B" w:rsidRDefault="008906AE" w:rsidP="008906AE">
      <w:pPr>
        <w:jc w:val="both"/>
        <w:rPr>
          <w:b/>
          <w:bCs/>
        </w:rPr>
      </w:pPr>
      <w:r w:rsidRPr="008F324B">
        <w:rPr>
          <w:b/>
          <w:bCs/>
        </w:rPr>
        <w:t xml:space="preserve">Si deve in proposito osservare che il legame Parlamento-sovranità popolare costituisce inconfutabilmente un portato dei principî democratico-rappresentativi, ma non descrive i termini di una relazione di identità, </w:t>
      </w:r>
      <w:proofErr w:type="spellStart"/>
      <w:r w:rsidRPr="008F324B">
        <w:rPr>
          <w:b/>
          <w:bCs/>
        </w:rPr>
        <w:t>sicchè</w:t>
      </w:r>
      <w:proofErr w:type="spellEnd"/>
      <w:r w:rsidRPr="008F324B">
        <w:rPr>
          <w:b/>
          <w:bCs/>
        </w:rPr>
        <w:t xml:space="preserve"> la tesi per la quale, secondo la nostra Costituzione, nel Parlamento si risolverebbe, in sostanza, la sovranità popolare, senza che le autonomie territoriali concorrano a plasmarne l’essenza, non può essere condivisa nella sua assolutezza.</w:t>
      </w:r>
    </w:p>
    <w:p w14:paraId="7BC5ACD7" w14:textId="77777777" w:rsidR="008906AE" w:rsidRPr="008F324B" w:rsidRDefault="008906AE" w:rsidP="008906AE">
      <w:pPr>
        <w:jc w:val="both"/>
        <w:rPr>
          <w:b/>
          <w:bCs/>
        </w:rPr>
      </w:pPr>
      <w:r w:rsidRPr="008F324B">
        <w:rPr>
          <w:b/>
          <w:bCs/>
        </w:rPr>
        <w:t xml:space="preserve">Sebbene il nuovo orizzonte dell’Europa e il processo di integrazione sovranazionale nel quale l’Italia </w:t>
      </w:r>
      <w:proofErr w:type="spellStart"/>
      <w:r w:rsidRPr="008F324B">
        <w:rPr>
          <w:b/>
          <w:bCs/>
        </w:rPr>
        <w:t>é</w:t>
      </w:r>
      <w:proofErr w:type="spellEnd"/>
      <w:r w:rsidRPr="008F324B">
        <w:rPr>
          <w:b/>
          <w:bCs/>
        </w:rPr>
        <w:t xml:space="preserve"> impegnata abbiano agito in profondità sul principio di sovranità, nuovamente orientandolo ed immettendovi virtualità interpretative non tutte interamente predicibili, un apparato concettuale largamente consolidato nel nostro diritto costituzionale consente di procedere, </w:t>
      </w:r>
      <w:r w:rsidRPr="000B5D3D">
        <w:rPr>
          <w:b/>
          <w:bCs/>
          <w:u w:val="single"/>
        </w:rPr>
        <w:t>proprio sui temi connessi alla sovranità</w:t>
      </w:r>
      <w:r w:rsidRPr="008F324B">
        <w:rPr>
          <w:b/>
          <w:bCs/>
        </w:rPr>
        <w:t xml:space="preserve">, da alcuni punti fermi. L’articolo 1 della Costituzione, nello stabilire, con formulazione netta e definitiva, che la sovranità "appartiene" al popolo, impedisce di ritenere che vi siano luoghi o sedi dell’organizzazione costituzionale nella quale essa si possa insediare esaurendovisi. Le forme e i modi nei quali la sovranità del popolo può svolgersi, infatti, non si risolvono nella rappresentanza, ma permeano l’intera intelaiatura costituzionale: si rifrangono in una molteplicità di situazioni e di istituti ed assumono una configurazione talmente ampia da ricomprendere certamente </w:t>
      </w:r>
      <w:r w:rsidRPr="000B5D3D">
        <w:rPr>
          <w:b/>
          <w:bCs/>
          <w:u w:val="single"/>
        </w:rPr>
        <w:t>il riconoscimento e la garanzia delle autonomie territoriali.</w:t>
      </w:r>
      <w:r w:rsidRPr="008F324B">
        <w:rPr>
          <w:b/>
          <w:bCs/>
        </w:rPr>
        <w:t xml:space="preserve"> Per quanto riguarda queste ultime, risale alla Costituente la visione per la quale esse sono a loro volta partecipi dei percorsi di articolazione e diversificazione del potere politico strettamente legati, sul piano storico non meno che su quello ideale, all’affermarsi </w:t>
      </w:r>
      <w:r w:rsidRPr="003D3629">
        <w:rPr>
          <w:b/>
          <w:bCs/>
          <w:u w:val="single"/>
        </w:rPr>
        <w:t>del principio democratico e della sovranità popolare</w:t>
      </w:r>
      <w:r w:rsidRPr="008F324B">
        <w:rPr>
          <w:b/>
          <w:bCs/>
        </w:rPr>
        <w:t>.</w:t>
      </w:r>
    </w:p>
    <w:p w14:paraId="6984AE29" w14:textId="77777777" w:rsidR="008906AE" w:rsidRPr="003D3629" w:rsidRDefault="008906AE" w:rsidP="008906AE">
      <w:pPr>
        <w:jc w:val="both"/>
        <w:rPr>
          <w:b/>
          <w:bCs/>
        </w:rPr>
      </w:pPr>
      <w:r w:rsidRPr="003D3629">
        <w:rPr>
          <w:b/>
          <w:bCs/>
        </w:rPr>
        <w:t xml:space="preserve">Il nuovo Titolo V – con l’attribuzione alle Regioni della </w:t>
      </w:r>
      <w:r w:rsidRPr="003D3629">
        <w:rPr>
          <w:b/>
          <w:bCs/>
          <w:u w:val="single"/>
        </w:rPr>
        <w:t>potestà di determinare la propria forma di governo</w:t>
      </w:r>
      <w:r w:rsidRPr="003D3629">
        <w:rPr>
          <w:b/>
          <w:bCs/>
        </w:rPr>
        <w:t xml:space="preserve">, l’elevazione al rango costituzionale del diritto degli enti territoriali minori di </w:t>
      </w:r>
      <w:r w:rsidRPr="003D3629">
        <w:rPr>
          <w:b/>
          <w:bCs/>
          <w:u w:val="single"/>
        </w:rPr>
        <w:t>darsi un proprio statuto</w:t>
      </w:r>
      <w:r w:rsidRPr="003D3629">
        <w:rPr>
          <w:b/>
          <w:bCs/>
        </w:rPr>
        <w:t xml:space="preserve">, la </w:t>
      </w:r>
      <w:r w:rsidRPr="003D3629">
        <w:rPr>
          <w:b/>
          <w:bCs/>
          <w:u w:val="single"/>
        </w:rPr>
        <w:t>clausola di residualità a favore delle Regioni</w:t>
      </w:r>
      <w:r w:rsidRPr="003D3629">
        <w:rPr>
          <w:b/>
          <w:bCs/>
        </w:rPr>
        <w:t xml:space="preserve">, che ne ha potenziato la funzione di produzione legislativa, il rafforzamento della autonomia finanziaria regionale, l’abolizione dei controlli statali - ha disegnato di certo un nuovo modo d’essere del sistema delle autonomie. </w:t>
      </w:r>
      <w:proofErr w:type="gramStart"/>
      <w:r w:rsidRPr="003D3629">
        <w:rPr>
          <w:b/>
          <w:bCs/>
        </w:rPr>
        <w:t>Tuttavia</w:t>
      </w:r>
      <w:proofErr w:type="gramEnd"/>
      <w:r w:rsidRPr="003D3629">
        <w:rPr>
          <w:b/>
          <w:bCs/>
        </w:rPr>
        <w:t xml:space="preserve"> i significativi elementi di discontinuità nelle relazioni tra Stato e Regioni che sono stati in tal modo introdotti non hanno intaccato le idee </w:t>
      </w:r>
      <w:r w:rsidRPr="00486F34">
        <w:rPr>
          <w:b/>
          <w:bCs/>
          <w:u w:val="single"/>
        </w:rPr>
        <w:t>sulla democrazia, sulla sovranità popolare e sul principio autonomistico</w:t>
      </w:r>
      <w:r w:rsidRPr="003D3629">
        <w:rPr>
          <w:b/>
          <w:bCs/>
        </w:rPr>
        <w:t xml:space="preserve"> che erano presenti e attive sin dall’inizio dell’esperienza repubblicana. </w:t>
      </w:r>
      <w:r w:rsidRPr="003D3629">
        <w:rPr>
          <w:b/>
          <w:bCs/>
        </w:rPr>
        <w:lastRenderedPageBreak/>
        <w:t xml:space="preserve">Semmai potrebbe dirsi che il nucleo centrale attorno al quale esse ruotavano abbia trovato oggi una positiva eco nella formulazione del </w:t>
      </w:r>
      <w:r w:rsidRPr="001A502D">
        <w:rPr>
          <w:b/>
          <w:bCs/>
          <w:u w:val="single"/>
        </w:rPr>
        <w:t>nuovo art. 114 della Costituzione</w:t>
      </w:r>
      <w:r w:rsidRPr="003D3629">
        <w:rPr>
          <w:b/>
          <w:bCs/>
        </w:rPr>
        <w:t>, nel quale gli enti territoriali autonomi sono collocati al fianco dello Stato come elementi costitutivi della Repubblica quasi a svelarne, in una formulazione sintetica, la comune derivazione dal principio democratico e dalla sovranità popolare.</w:t>
      </w:r>
    </w:p>
    <w:p w14:paraId="221A570E" w14:textId="77777777" w:rsidR="008906AE" w:rsidRPr="001A502D" w:rsidRDefault="008906AE" w:rsidP="008906AE">
      <w:pPr>
        <w:jc w:val="both"/>
        <w:rPr>
          <w:b/>
          <w:bCs/>
        </w:rPr>
      </w:pPr>
      <w:r w:rsidRPr="001A502D">
        <w:rPr>
          <w:b/>
          <w:bCs/>
        </w:rPr>
        <w:t xml:space="preserve">In conclusione, se non lo si vuole racchiudere entro uno schema troppo angusto e ormai storicamente inattendibile, non </w:t>
      </w:r>
      <w:proofErr w:type="spellStart"/>
      <w:r w:rsidRPr="001A502D">
        <w:rPr>
          <w:b/>
          <w:bCs/>
        </w:rPr>
        <w:t>é</w:t>
      </w:r>
      <w:proofErr w:type="spellEnd"/>
      <w:r w:rsidRPr="001A502D">
        <w:rPr>
          <w:b/>
          <w:bCs/>
        </w:rPr>
        <w:t xml:space="preserve"> il principio di sovranità popolare a poter fondare un’attribuzione costituzionale all’uso esclusivo della denominazione "Parlamento".</w:t>
      </w:r>
    </w:p>
    <w:p w14:paraId="678A66BC" w14:textId="77777777" w:rsidR="008906AE" w:rsidRPr="001A502D" w:rsidRDefault="008906AE" w:rsidP="008906AE">
      <w:pPr>
        <w:jc w:val="both"/>
        <w:rPr>
          <w:b/>
          <w:bCs/>
        </w:rPr>
      </w:pPr>
      <w:r w:rsidRPr="001A502D">
        <w:rPr>
          <w:b/>
          <w:bCs/>
        </w:rPr>
        <w:t xml:space="preserve">4. D’altro canto, non può essere accolta neppure la prospettiva ricostruttiva in cui si pone la Regione Liguria per superare l’ostacolo recato dalla lettera della Costituzione. La difesa regionale assume che la sostanziale parificazione di funzioni, nei rispettivi ambiti di competenza, tra Consiglio regionale e Parlamento renderebbe legittima l’estensione anche al primo della denominazione propria del secondo. Questa ricostruzione potrebbe avere una qualche plausibilità se la denominazione degli organi direttivi della Regione fosse collocata in uno spazio di indifferenza giuridica; solo allora sarebbe infatti possibile muovere </w:t>
      </w:r>
      <w:r w:rsidRPr="00056913">
        <w:rPr>
          <w:b/>
          <w:bCs/>
          <w:u w:val="single"/>
        </w:rPr>
        <w:t>alla ricerca di una nozione "sostanziale" di Parlamento,</w:t>
      </w:r>
      <w:r w:rsidRPr="001A502D">
        <w:rPr>
          <w:b/>
          <w:bCs/>
        </w:rPr>
        <w:t xml:space="preserve"> e, confortati dalla indagine storica, annettere una qualificazione siffatta alle assemblee legislative titolari di una funzione rappresentativa delle popolazioni governate, dunque anche ai Consigli regionali.</w:t>
      </w:r>
    </w:p>
    <w:p w14:paraId="43943268" w14:textId="77777777" w:rsidR="008906AE" w:rsidRPr="00056913" w:rsidRDefault="008906AE" w:rsidP="008906AE">
      <w:pPr>
        <w:jc w:val="both"/>
        <w:rPr>
          <w:b/>
          <w:bCs/>
        </w:rPr>
      </w:pPr>
      <w:proofErr w:type="gramStart"/>
      <w:r w:rsidRPr="00056913">
        <w:rPr>
          <w:b/>
          <w:bCs/>
        </w:rPr>
        <w:t>E’</w:t>
      </w:r>
      <w:proofErr w:type="gramEnd"/>
      <w:r w:rsidRPr="00056913">
        <w:rPr>
          <w:b/>
          <w:bCs/>
        </w:rPr>
        <w:t xml:space="preserve"> tuttavia di ostacolo alla utilizzazione dell’argomento analogico la circostanza che la Costituzione ha inteso pregiudicare questo spazio giuridico. Essa nel Titolo I, Parte II, attribuisce alle sole Camere il nome Parlamento, e definisce Consiglio regionale, nell’articolo 121, il titolare della funzione legislativa regionale. Gli organi direttivi della Regione non sono dunque entità nuove nate negli ordinamenti regionali in virtù delle modifiche introdotte nel Titolo V della Costituzione e prive di denominazioni proprie. Ed </w:t>
      </w:r>
      <w:proofErr w:type="spellStart"/>
      <w:r w:rsidRPr="00056913">
        <w:rPr>
          <w:b/>
          <w:bCs/>
        </w:rPr>
        <w:t>é</w:t>
      </w:r>
      <w:proofErr w:type="spellEnd"/>
      <w:r w:rsidRPr="00056913">
        <w:rPr>
          <w:b/>
          <w:bCs/>
        </w:rPr>
        <w:t xml:space="preserve"> vano richiamare profili di analogia tra Consiglio regionale e Parlamento, che erano evidenti al Costituente del 1948 - il quale con l’art. 121 Cost. (e con le corrispondenti norme degli statuti speciali) aveva nondimeno espresso chiaramente la propria scelta </w:t>
      </w:r>
      <w:proofErr w:type="spellStart"/>
      <w:r w:rsidRPr="00056913">
        <w:rPr>
          <w:b/>
          <w:bCs/>
        </w:rPr>
        <w:t>diversificatrice</w:t>
      </w:r>
      <w:proofErr w:type="spellEnd"/>
      <w:r w:rsidRPr="00056913">
        <w:rPr>
          <w:b/>
          <w:bCs/>
        </w:rPr>
        <w:t xml:space="preserve"> - così come si deve presumere lo siano stati al legislatore costituzionale del 1999 e del 2001, che pure, proprio nel momento in cui si accingeva ad un rilevante potenziamento del ruolo delle autonomie, non ha ritenuto di mutare in "Parlamento" la denominazione dell’organo legislativo delle Regioni.</w:t>
      </w:r>
    </w:p>
    <w:p w14:paraId="275EA024" w14:textId="77777777" w:rsidR="008906AE" w:rsidRPr="00056913" w:rsidRDefault="008906AE" w:rsidP="008906AE">
      <w:pPr>
        <w:jc w:val="both"/>
        <w:rPr>
          <w:b/>
          <w:bCs/>
        </w:rPr>
      </w:pPr>
      <w:r w:rsidRPr="00056913">
        <w:rPr>
          <w:b/>
          <w:bCs/>
        </w:rPr>
        <w:t xml:space="preserve">Conviene piuttosto individuare gli elementi che giustifichino la diversa denominazione costituzionale, ed </w:t>
      </w:r>
      <w:proofErr w:type="spellStart"/>
      <w:r w:rsidRPr="00056913">
        <w:rPr>
          <w:b/>
          <w:bCs/>
        </w:rPr>
        <w:t>é</w:t>
      </w:r>
      <w:proofErr w:type="spellEnd"/>
      <w:r w:rsidRPr="00056913">
        <w:rPr>
          <w:b/>
          <w:bCs/>
        </w:rPr>
        <w:t xml:space="preserve"> fin troppo agevole, in questa prospettiva, rilevare che il termine Parlamento </w:t>
      </w:r>
      <w:r w:rsidRPr="00056913">
        <w:rPr>
          <w:b/>
          <w:bCs/>
          <w:color w:val="EE0000"/>
        </w:rPr>
        <w:t>rifiuta di essere impiegato all’interno di ordinamenti regionali</w:t>
      </w:r>
      <w:r w:rsidRPr="00056913">
        <w:rPr>
          <w:b/>
          <w:bCs/>
        </w:rPr>
        <w:t xml:space="preserve">. Ciò non per il fatto che l’organo al quale esso si riferisce ha carattere rappresentativo ed </w:t>
      </w:r>
      <w:proofErr w:type="spellStart"/>
      <w:r w:rsidRPr="00056913">
        <w:rPr>
          <w:b/>
          <w:bCs/>
        </w:rPr>
        <w:t>é</w:t>
      </w:r>
      <w:proofErr w:type="spellEnd"/>
      <w:r w:rsidRPr="00056913">
        <w:rPr>
          <w:b/>
          <w:bCs/>
        </w:rPr>
        <w:t xml:space="preserve"> titolare di competenze legislative, ma in quanto </w:t>
      </w:r>
      <w:r w:rsidRPr="00056913">
        <w:rPr>
          <w:b/>
          <w:bCs/>
          <w:color w:val="EE0000"/>
        </w:rPr>
        <w:t xml:space="preserve">solo il Parlamento </w:t>
      </w:r>
      <w:proofErr w:type="spellStart"/>
      <w:r w:rsidRPr="00056913">
        <w:rPr>
          <w:b/>
          <w:bCs/>
          <w:color w:val="EE0000"/>
        </w:rPr>
        <w:t>é</w:t>
      </w:r>
      <w:proofErr w:type="spellEnd"/>
      <w:r w:rsidRPr="00056913">
        <w:rPr>
          <w:b/>
          <w:bCs/>
          <w:color w:val="EE0000"/>
        </w:rPr>
        <w:t xml:space="preserve"> sede della rappresentanza politica nazionale </w:t>
      </w:r>
      <w:r w:rsidRPr="00056913">
        <w:rPr>
          <w:b/>
          <w:bCs/>
        </w:rPr>
        <w:t>(art. 67 Cost.), la quale imprime alle sue funzioni una caratterizzazione tipica ed infungibile. In tal senso il </w:t>
      </w:r>
      <w:proofErr w:type="spellStart"/>
      <w:r w:rsidRPr="00056913">
        <w:rPr>
          <w:b/>
          <w:bCs/>
          <w:i/>
          <w:iCs/>
        </w:rPr>
        <w:t>nomen</w:t>
      </w:r>
      <w:proofErr w:type="spellEnd"/>
      <w:r w:rsidRPr="00056913">
        <w:rPr>
          <w:b/>
          <w:bCs/>
        </w:rPr>
        <w:t xml:space="preserve"> Parlamento non ha un valore puramente lessicale, ma possiede </w:t>
      </w:r>
      <w:r w:rsidRPr="00CE1F3A">
        <w:rPr>
          <w:b/>
          <w:bCs/>
          <w:u w:val="single"/>
        </w:rPr>
        <w:t>anche una valenza qualificativa</w:t>
      </w:r>
      <w:r w:rsidRPr="00056913">
        <w:rPr>
          <w:b/>
          <w:bCs/>
        </w:rPr>
        <w:t xml:space="preserve">, connotando, con l’organo, la posizione esclusiva che esso occupa nell’organizzazione costituzionale. Ed </w:t>
      </w:r>
      <w:proofErr w:type="spellStart"/>
      <w:r w:rsidRPr="00056913">
        <w:rPr>
          <w:b/>
          <w:bCs/>
        </w:rPr>
        <w:t>é</w:t>
      </w:r>
      <w:proofErr w:type="spellEnd"/>
      <w:r w:rsidRPr="00056913">
        <w:rPr>
          <w:b/>
          <w:bCs/>
        </w:rPr>
        <w:t xml:space="preserve"> proprio la peculiare forza connotativa della parola ad impedire ogni sua declinazione intesa a circoscrivere in ambiti territorialmente più ristretti quella funzione di rappresentanza nazionale che solo il Parlamento può esprimere e che </w:t>
      </w:r>
      <w:proofErr w:type="spellStart"/>
      <w:r w:rsidRPr="00056913">
        <w:rPr>
          <w:b/>
          <w:bCs/>
        </w:rPr>
        <w:t>é</w:t>
      </w:r>
      <w:proofErr w:type="spellEnd"/>
      <w:r w:rsidRPr="00056913">
        <w:rPr>
          <w:b/>
          <w:bCs/>
        </w:rPr>
        <w:t xml:space="preserve"> ineluttabilmente evocata dall’impiego del relativo </w:t>
      </w:r>
      <w:proofErr w:type="spellStart"/>
      <w:r w:rsidRPr="00056913">
        <w:rPr>
          <w:b/>
          <w:bCs/>
          <w:i/>
          <w:iCs/>
        </w:rPr>
        <w:t>nomen</w:t>
      </w:r>
      <w:proofErr w:type="spellEnd"/>
      <w:r w:rsidRPr="00056913">
        <w:rPr>
          <w:b/>
          <w:bCs/>
        </w:rPr>
        <w:t>.</w:t>
      </w:r>
    </w:p>
    <w:p w14:paraId="74324F2E" w14:textId="77777777" w:rsidR="008906AE" w:rsidRPr="00CE1F3A" w:rsidRDefault="008906AE" w:rsidP="008906AE">
      <w:pPr>
        <w:jc w:val="both"/>
        <w:rPr>
          <w:b/>
          <w:bCs/>
        </w:rPr>
      </w:pPr>
      <w:r w:rsidRPr="00CE1F3A">
        <w:rPr>
          <w:b/>
          <w:bCs/>
        </w:rPr>
        <w:t xml:space="preserve">5. Le considerazioni fin qui svolte consentono di apprezzare nella pienezza del suo significato il valore deontico degli articoli 55 e 121 della Costituzione, che si traduce in un vero e proprio </w:t>
      </w:r>
      <w:r w:rsidRPr="00CE1F3A">
        <w:rPr>
          <w:b/>
          <w:bCs/>
          <w:u w:val="single"/>
        </w:rPr>
        <w:t>divieto per i Consigli regionali di appropriarsi del nome Parlamento</w:t>
      </w:r>
      <w:r w:rsidRPr="00CE1F3A">
        <w:rPr>
          <w:b/>
          <w:bCs/>
        </w:rPr>
        <w:t xml:space="preserve">. Ne consegue che la dizione lessicale integrativa introdotta dalla Regione Liguria, intesa ad estendere anche al Consiglio regionale </w:t>
      </w:r>
      <w:r w:rsidRPr="00CE1F3A">
        <w:rPr>
          <w:b/>
          <w:bCs/>
        </w:rPr>
        <w:lastRenderedPageBreak/>
        <w:t>ligure il </w:t>
      </w:r>
      <w:proofErr w:type="spellStart"/>
      <w:r w:rsidRPr="00CE1F3A">
        <w:rPr>
          <w:b/>
          <w:bCs/>
          <w:i/>
          <w:iCs/>
        </w:rPr>
        <w:t>nomen</w:t>
      </w:r>
      <w:proofErr w:type="spellEnd"/>
      <w:r w:rsidRPr="00CE1F3A">
        <w:rPr>
          <w:b/>
          <w:bCs/>
        </w:rPr>
        <w:t xml:space="preserve"> Parlamento, </w:t>
      </w:r>
      <w:r w:rsidRPr="00CE1F3A">
        <w:rPr>
          <w:b/>
          <w:bCs/>
          <w:u w:val="single"/>
        </w:rPr>
        <w:t>deve ritenersi illegittima</w:t>
      </w:r>
      <w:r w:rsidRPr="00CE1F3A">
        <w:rPr>
          <w:b/>
          <w:bCs/>
        </w:rPr>
        <w:t xml:space="preserve">, </w:t>
      </w:r>
      <w:proofErr w:type="spellStart"/>
      <w:r w:rsidRPr="00CE1F3A">
        <w:rPr>
          <w:b/>
          <w:bCs/>
        </w:rPr>
        <w:t>sicchè</w:t>
      </w:r>
      <w:proofErr w:type="spellEnd"/>
      <w:r w:rsidRPr="00CE1F3A">
        <w:rPr>
          <w:b/>
          <w:bCs/>
        </w:rPr>
        <w:t xml:space="preserve"> il ricorso per conflitto deve essere accolto e la delibera impugnata annullata anche in riferimento alla sua seconda parte, con la quale il Consiglio regionale, </w:t>
      </w:r>
      <w:r w:rsidRPr="00CE1F3A">
        <w:rPr>
          <w:b/>
          <w:bCs/>
          <w:color w:val="EE0000"/>
        </w:rPr>
        <w:t>esorbitando dalle proprie attribuzioni e ledendo quelle statali</w:t>
      </w:r>
      <w:r w:rsidRPr="00CE1F3A">
        <w:rPr>
          <w:b/>
          <w:bCs/>
        </w:rPr>
        <w:t>, invita la apposita commissione ad inserire nello statuto regionale in corso di elaborazione una denominazione costituzionalmente non consentita per l’organo consiliare.</w:t>
      </w:r>
    </w:p>
    <w:p w14:paraId="49148A33" w14:textId="77777777" w:rsidR="008906AE" w:rsidRPr="008906AE" w:rsidRDefault="008906AE" w:rsidP="008906AE">
      <w:pPr>
        <w:jc w:val="both"/>
      </w:pPr>
      <w:r w:rsidRPr="008906AE">
        <w:t>PER QUESTI MOTIVI</w:t>
      </w:r>
    </w:p>
    <w:p w14:paraId="3406B559" w14:textId="77777777" w:rsidR="008906AE" w:rsidRPr="008906AE" w:rsidRDefault="008906AE" w:rsidP="008906AE">
      <w:pPr>
        <w:jc w:val="both"/>
      </w:pPr>
      <w:r w:rsidRPr="008906AE">
        <w:t>LA CORTE COSTITUZIONALE</w:t>
      </w:r>
    </w:p>
    <w:p w14:paraId="0067E39D" w14:textId="77777777" w:rsidR="008906AE" w:rsidRPr="008906AE" w:rsidRDefault="008906AE" w:rsidP="008906AE">
      <w:pPr>
        <w:jc w:val="both"/>
      </w:pPr>
      <w:r w:rsidRPr="008906AE">
        <w:rPr>
          <w:i/>
          <w:iCs/>
        </w:rPr>
        <w:t>dichiara</w:t>
      </w:r>
      <w:r w:rsidRPr="008906AE">
        <w:t> che non spetta al Consiglio regionale della Liguria adottare la delibera n. 62 del 15 dicembre 2000 recante "Istituzione del Parlamento della Liguria" e conseguentemente la annulla.</w:t>
      </w:r>
    </w:p>
    <w:p w14:paraId="2C93AE11" w14:textId="77777777" w:rsidR="008906AE" w:rsidRPr="008906AE" w:rsidRDefault="008906AE" w:rsidP="008906AE">
      <w:pPr>
        <w:jc w:val="both"/>
      </w:pPr>
      <w:r w:rsidRPr="008906AE">
        <w:t>Così deciso in Roma, nella sede della Corte costituzionale, Palazzo della Consulta, il 10 aprile 2002.</w:t>
      </w:r>
    </w:p>
    <w:p w14:paraId="38898637" w14:textId="77777777" w:rsidR="008906AE" w:rsidRPr="008906AE" w:rsidRDefault="008906AE" w:rsidP="008906AE">
      <w:pPr>
        <w:jc w:val="both"/>
      </w:pPr>
      <w:r w:rsidRPr="008906AE">
        <w:t>Cesare RUPERTO, Presidente</w:t>
      </w:r>
    </w:p>
    <w:p w14:paraId="0EEEAB26" w14:textId="77777777" w:rsidR="008906AE" w:rsidRPr="008906AE" w:rsidRDefault="008906AE" w:rsidP="008906AE">
      <w:pPr>
        <w:jc w:val="both"/>
      </w:pPr>
      <w:r w:rsidRPr="008906AE">
        <w:t>Carlo MEZZANOTTE, Redattore</w:t>
      </w:r>
    </w:p>
    <w:p w14:paraId="752888FF" w14:textId="77777777" w:rsidR="008906AE" w:rsidRPr="008906AE" w:rsidRDefault="008906AE" w:rsidP="008906AE">
      <w:pPr>
        <w:jc w:val="both"/>
      </w:pPr>
      <w:r w:rsidRPr="008906AE">
        <w:t>Depositata in Cancelleria il 12 aprile 2002.</w:t>
      </w:r>
    </w:p>
    <w:p w14:paraId="6EB8901F" w14:textId="77777777" w:rsidR="00B50B1F" w:rsidRDefault="00B50B1F"/>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2E5B"/>
    <w:rsid w:val="00056913"/>
    <w:rsid w:val="000B5D3D"/>
    <w:rsid w:val="001A502D"/>
    <w:rsid w:val="00290ECD"/>
    <w:rsid w:val="003D3629"/>
    <w:rsid w:val="00486F34"/>
    <w:rsid w:val="00542290"/>
    <w:rsid w:val="007D2E5B"/>
    <w:rsid w:val="00840153"/>
    <w:rsid w:val="008906AE"/>
    <w:rsid w:val="008F324B"/>
    <w:rsid w:val="00A2067D"/>
    <w:rsid w:val="00B50B1F"/>
    <w:rsid w:val="00CE1F3A"/>
    <w:rsid w:val="00E85DB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B900F"/>
  <w15:chartTrackingRefBased/>
  <w15:docId w15:val="{1F3461CE-3C04-4B19-879C-27C00127A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D2E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7D2E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7D2E5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D2E5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D2E5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7D2E5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D2E5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D2E5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D2E5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D2E5B"/>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7D2E5B"/>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7D2E5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D2E5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D2E5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D2E5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D2E5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D2E5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D2E5B"/>
    <w:rPr>
      <w:rFonts w:eastAsiaTheme="majorEastAsia" w:cstheme="majorBidi"/>
      <w:color w:val="272727" w:themeColor="text1" w:themeTint="D8"/>
    </w:rPr>
  </w:style>
  <w:style w:type="paragraph" w:styleId="Titolo">
    <w:name w:val="Title"/>
    <w:basedOn w:val="Normale"/>
    <w:next w:val="Normale"/>
    <w:link w:val="TitoloCarattere"/>
    <w:uiPriority w:val="10"/>
    <w:qFormat/>
    <w:rsid w:val="007D2E5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D2E5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D2E5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D2E5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D2E5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D2E5B"/>
    <w:rPr>
      <w:i/>
      <w:iCs/>
      <w:color w:val="404040" w:themeColor="text1" w:themeTint="BF"/>
    </w:rPr>
  </w:style>
  <w:style w:type="paragraph" w:styleId="Paragrafoelenco">
    <w:name w:val="List Paragraph"/>
    <w:basedOn w:val="Normale"/>
    <w:uiPriority w:val="34"/>
    <w:qFormat/>
    <w:rsid w:val="007D2E5B"/>
    <w:pPr>
      <w:ind w:left="720"/>
      <w:contextualSpacing/>
    </w:pPr>
  </w:style>
  <w:style w:type="character" w:styleId="Enfasiintensa">
    <w:name w:val="Intense Emphasis"/>
    <w:basedOn w:val="Carpredefinitoparagrafo"/>
    <w:uiPriority w:val="21"/>
    <w:qFormat/>
    <w:rsid w:val="007D2E5B"/>
    <w:rPr>
      <w:i/>
      <w:iCs/>
      <w:color w:val="0F4761" w:themeColor="accent1" w:themeShade="BF"/>
    </w:rPr>
  </w:style>
  <w:style w:type="paragraph" w:styleId="Citazioneintensa">
    <w:name w:val="Intense Quote"/>
    <w:basedOn w:val="Normale"/>
    <w:next w:val="Normale"/>
    <w:link w:val="CitazioneintensaCarattere"/>
    <w:uiPriority w:val="30"/>
    <w:qFormat/>
    <w:rsid w:val="007D2E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D2E5B"/>
    <w:rPr>
      <w:i/>
      <w:iCs/>
      <w:color w:val="0F4761" w:themeColor="accent1" w:themeShade="BF"/>
    </w:rPr>
  </w:style>
  <w:style w:type="character" w:styleId="Riferimentointenso">
    <w:name w:val="Intense Reference"/>
    <w:basedOn w:val="Carpredefinitoparagrafo"/>
    <w:uiPriority w:val="32"/>
    <w:qFormat/>
    <w:rsid w:val="007D2E5B"/>
    <w:rPr>
      <w:b/>
      <w:bCs/>
      <w:smallCaps/>
      <w:color w:val="0F4761" w:themeColor="accent1" w:themeShade="BF"/>
      <w:spacing w:val="5"/>
    </w:rPr>
  </w:style>
  <w:style w:type="character" w:styleId="Collegamentoipertestuale">
    <w:name w:val="Hyperlink"/>
    <w:basedOn w:val="Carpredefinitoparagrafo"/>
    <w:uiPriority w:val="99"/>
    <w:unhideWhenUsed/>
    <w:rsid w:val="008906AE"/>
    <w:rPr>
      <w:color w:val="467886" w:themeColor="hyperlink"/>
      <w:u w:val="single"/>
    </w:rPr>
  </w:style>
  <w:style w:type="character" w:styleId="Menzionenonrisolta">
    <w:name w:val="Unresolved Mention"/>
    <w:basedOn w:val="Carpredefinitoparagrafo"/>
    <w:uiPriority w:val="99"/>
    <w:semiHidden/>
    <w:unhideWhenUsed/>
    <w:rsid w:val="008906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0976699">
      <w:bodyDiv w:val="1"/>
      <w:marLeft w:val="0"/>
      <w:marRight w:val="0"/>
      <w:marTop w:val="0"/>
      <w:marBottom w:val="0"/>
      <w:divBdr>
        <w:top w:val="none" w:sz="0" w:space="0" w:color="auto"/>
        <w:left w:val="none" w:sz="0" w:space="0" w:color="auto"/>
        <w:bottom w:val="none" w:sz="0" w:space="0" w:color="auto"/>
        <w:right w:val="none" w:sz="0" w:space="0" w:color="auto"/>
      </w:divBdr>
      <w:divsChild>
        <w:div w:id="180820261">
          <w:marLeft w:val="0"/>
          <w:marRight w:val="0"/>
          <w:marTop w:val="0"/>
          <w:marBottom w:val="1500"/>
          <w:divBdr>
            <w:top w:val="none" w:sz="0" w:space="0" w:color="auto"/>
            <w:left w:val="none" w:sz="0" w:space="0" w:color="auto"/>
            <w:bottom w:val="none" w:sz="0" w:space="0" w:color="auto"/>
            <w:right w:val="none" w:sz="0" w:space="0" w:color="auto"/>
          </w:divBdr>
          <w:divsChild>
            <w:div w:id="316105555">
              <w:marLeft w:val="-225"/>
              <w:marRight w:val="-225"/>
              <w:marTop w:val="0"/>
              <w:marBottom w:val="0"/>
              <w:divBdr>
                <w:top w:val="none" w:sz="0" w:space="0" w:color="auto"/>
                <w:left w:val="none" w:sz="0" w:space="0" w:color="auto"/>
                <w:bottom w:val="none" w:sz="0" w:space="0" w:color="auto"/>
                <w:right w:val="none" w:sz="0" w:space="0" w:color="auto"/>
              </w:divBdr>
              <w:divsChild>
                <w:div w:id="1421101812">
                  <w:marLeft w:val="0"/>
                  <w:marRight w:val="0"/>
                  <w:marTop w:val="0"/>
                  <w:marBottom w:val="0"/>
                  <w:divBdr>
                    <w:top w:val="none" w:sz="0" w:space="0" w:color="auto"/>
                    <w:left w:val="none" w:sz="0" w:space="0" w:color="auto"/>
                    <w:bottom w:val="none" w:sz="0" w:space="0" w:color="auto"/>
                    <w:right w:val="none" w:sz="0" w:space="0" w:color="auto"/>
                  </w:divBdr>
                  <w:divsChild>
                    <w:div w:id="1496065149">
                      <w:marLeft w:val="0"/>
                      <w:marRight w:val="0"/>
                      <w:marTop w:val="0"/>
                      <w:marBottom w:val="0"/>
                      <w:divBdr>
                        <w:top w:val="none" w:sz="0" w:space="0" w:color="auto"/>
                        <w:left w:val="none" w:sz="0" w:space="0" w:color="auto"/>
                        <w:bottom w:val="none" w:sz="0" w:space="0" w:color="auto"/>
                        <w:right w:val="none" w:sz="0" w:space="0" w:color="auto"/>
                      </w:divBdr>
                      <w:divsChild>
                        <w:div w:id="1574970770">
                          <w:marLeft w:val="0"/>
                          <w:marRight w:val="0"/>
                          <w:marTop w:val="0"/>
                          <w:marBottom w:val="0"/>
                          <w:divBdr>
                            <w:top w:val="none" w:sz="0" w:space="0" w:color="auto"/>
                            <w:left w:val="none" w:sz="0" w:space="0" w:color="auto"/>
                            <w:bottom w:val="none" w:sz="0" w:space="0" w:color="auto"/>
                            <w:right w:val="none" w:sz="0" w:space="0" w:color="auto"/>
                          </w:divBdr>
                          <w:divsChild>
                            <w:div w:id="1478497554">
                              <w:marLeft w:val="0"/>
                              <w:marRight w:val="0"/>
                              <w:marTop w:val="0"/>
                              <w:marBottom w:val="0"/>
                              <w:divBdr>
                                <w:top w:val="none" w:sz="0" w:space="0" w:color="auto"/>
                                <w:left w:val="none" w:sz="0" w:space="0" w:color="auto"/>
                                <w:bottom w:val="none" w:sz="0" w:space="0" w:color="auto"/>
                                <w:right w:val="none" w:sz="0" w:space="0" w:color="auto"/>
                              </w:divBdr>
                              <w:divsChild>
                                <w:div w:id="1553812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2718202">
      <w:bodyDiv w:val="1"/>
      <w:marLeft w:val="0"/>
      <w:marRight w:val="0"/>
      <w:marTop w:val="0"/>
      <w:marBottom w:val="0"/>
      <w:divBdr>
        <w:top w:val="none" w:sz="0" w:space="0" w:color="auto"/>
        <w:left w:val="none" w:sz="0" w:space="0" w:color="auto"/>
        <w:bottom w:val="none" w:sz="0" w:space="0" w:color="auto"/>
        <w:right w:val="none" w:sz="0" w:space="0" w:color="auto"/>
      </w:divBdr>
      <w:divsChild>
        <w:div w:id="697858155">
          <w:marLeft w:val="0"/>
          <w:marRight w:val="0"/>
          <w:marTop w:val="0"/>
          <w:marBottom w:val="1500"/>
          <w:divBdr>
            <w:top w:val="none" w:sz="0" w:space="0" w:color="auto"/>
            <w:left w:val="none" w:sz="0" w:space="0" w:color="auto"/>
            <w:bottom w:val="none" w:sz="0" w:space="0" w:color="auto"/>
            <w:right w:val="none" w:sz="0" w:space="0" w:color="auto"/>
          </w:divBdr>
          <w:divsChild>
            <w:div w:id="826553856">
              <w:marLeft w:val="-225"/>
              <w:marRight w:val="-225"/>
              <w:marTop w:val="0"/>
              <w:marBottom w:val="0"/>
              <w:divBdr>
                <w:top w:val="none" w:sz="0" w:space="0" w:color="auto"/>
                <w:left w:val="none" w:sz="0" w:space="0" w:color="auto"/>
                <w:bottom w:val="none" w:sz="0" w:space="0" w:color="auto"/>
                <w:right w:val="none" w:sz="0" w:space="0" w:color="auto"/>
              </w:divBdr>
              <w:divsChild>
                <w:div w:id="1984461737">
                  <w:marLeft w:val="0"/>
                  <w:marRight w:val="0"/>
                  <w:marTop w:val="0"/>
                  <w:marBottom w:val="0"/>
                  <w:divBdr>
                    <w:top w:val="none" w:sz="0" w:space="0" w:color="auto"/>
                    <w:left w:val="none" w:sz="0" w:space="0" w:color="auto"/>
                    <w:bottom w:val="none" w:sz="0" w:space="0" w:color="auto"/>
                    <w:right w:val="none" w:sz="0" w:space="0" w:color="auto"/>
                  </w:divBdr>
                  <w:divsChild>
                    <w:div w:id="2133205451">
                      <w:marLeft w:val="0"/>
                      <w:marRight w:val="0"/>
                      <w:marTop w:val="0"/>
                      <w:marBottom w:val="0"/>
                      <w:divBdr>
                        <w:top w:val="none" w:sz="0" w:space="0" w:color="auto"/>
                        <w:left w:val="none" w:sz="0" w:space="0" w:color="auto"/>
                        <w:bottom w:val="none" w:sz="0" w:space="0" w:color="auto"/>
                        <w:right w:val="none" w:sz="0" w:space="0" w:color="auto"/>
                      </w:divBdr>
                      <w:divsChild>
                        <w:div w:id="1023629315">
                          <w:marLeft w:val="0"/>
                          <w:marRight w:val="0"/>
                          <w:marTop w:val="0"/>
                          <w:marBottom w:val="0"/>
                          <w:divBdr>
                            <w:top w:val="none" w:sz="0" w:space="0" w:color="auto"/>
                            <w:left w:val="none" w:sz="0" w:space="0" w:color="auto"/>
                            <w:bottom w:val="none" w:sz="0" w:space="0" w:color="auto"/>
                            <w:right w:val="none" w:sz="0" w:space="0" w:color="auto"/>
                          </w:divBdr>
                          <w:divsChild>
                            <w:div w:id="1405227167">
                              <w:marLeft w:val="0"/>
                              <w:marRight w:val="0"/>
                              <w:marTop w:val="0"/>
                              <w:marBottom w:val="0"/>
                              <w:divBdr>
                                <w:top w:val="none" w:sz="0" w:space="0" w:color="auto"/>
                                <w:left w:val="none" w:sz="0" w:space="0" w:color="auto"/>
                                <w:bottom w:val="none" w:sz="0" w:space="0" w:color="auto"/>
                                <w:right w:val="none" w:sz="0" w:space="0" w:color="auto"/>
                              </w:divBdr>
                              <w:divsChild>
                                <w:div w:id="100482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1632</Words>
  <Characters>9303</Characters>
  <Application>Microsoft Office Word</Application>
  <DocSecurity>0</DocSecurity>
  <Lines>77</Lines>
  <Paragraphs>21</Paragraphs>
  <ScaleCrop>false</ScaleCrop>
  <Company/>
  <LinksUpToDate>false</LinksUpToDate>
  <CharactersWithSpaces>10914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12</cp:revision>
  <dcterms:created xsi:type="dcterms:W3CDTF">2025-10-27T16:50:00Z</dcterms:created>
  <dcterms:modified xsi:type="dcterms:W3CDTF">2025-10-28T15:52:00Z</dcterms:modified>
</cp:coreProperties>
</file>