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E6F726" w14:textId="77777777" w:rsidR="000C2734" w:rsidRPr="000C2734" w:rsidRDefault="000C2734" w:rsidP="00D069D7">
      <w:pPr>
        <w:jc w:val="both"/>
      </w:pPr>
      <w:r w:rsidRPr="000C2734">
        <w:t>SENTENZA N. 116</w:t>
      </w:r>
    </w:p>
    <w:p w14:paraId="6CA451E1" w14:textId="77777777" w:rsidR="000C2734" w:rsidRPr="000C2734" w:rsidRDefault="000C2734" w:rsidP="00D069D7">
      <w:pPr>
        <w:jc w:val="both"/>
      </w:pPr>
      <w:r w:rsidRPr="000C2734">
        <w:t>ANNO 2006</w:t>
      </w:r>
    </w:p>
    <w:p w14:paraId="76E62636" w14:textId="77777777" w:rsidR="000C2734" w:rsidRPr="000C2734" w:rsidRDefault="000C2734" w:rsidP="00D069D7">
      <w:pPr>
        <w:jc w:val="both"/>
      </w:pPr>
      <w:r w:rsidRPr="000C2734">
        <w:rPr>
          <w:b/>
          <w:bCs/>
        </w:rPr>
        <w:t> </w:t>
      </w:r>
    </w:p>
    <w:p w14:paraId="25780E28" w14:textId="77777777" w:rsidR="00D069D7" w:rsidRDefault="00D069D7" w:rsidP="00D069D7">
      <w:pPr>
        <w:jc w:val="both"/>
      </w:pPr>
    </w:p>
    <w:p w14:paraId="42E87F98" w14:textId="29A4770E" w:rsidR="000C2734" w:rsidRPr="000C2734" w:rsidRDefault="000C2734" w:rsidP="00D069D7">
      <w:pPr>
        <w:jc w:val="both"/>
      </w:pPr>
      <w:r w:rsidRPr="000C2734">
        <w:t>REPUBBLICA ITALIANA</w:t>
      </w:r>
    </w:p>
    <w:p w14:paraId="6C73C52E" w14:textId="77777777" w:rsidR="000C2734" w:rsidRPr="000C2734" w:rsidRDefault="000C2734" w:rsidP="00D069D7">
      <w:pPr>
        <w:jc w:val="both"/>
      </w:pPr>
      <w:r w:rsidRPr="000C2734">
        <w:t>IN NOME DEL POPOLO ITALIANO</w:t>
      </w:r>
    </w:p>
    <w:p w14:paraId="3060632F" w14:textId="77777777" w:rsidR="000C2734" w:rsidRPr="000C2734" w:rsidRDefault="000C2734" w:rsidP="00D069D7">
      <w:pPr>
        <w:jc w:val="both"/>
      </w:pPr>
      <w:r w:rsidRPr="000C2734">
        <w:t>LA CORTE COSTITUZIONALE</w:t>
      </w:r>
    </w:p>
    <w:p w14:paraId="7CC9C415" w14:textId="77777777" w:rsidR="000C2734" w:rsidRPr="000C2734" w:rsidRDefault="000C2734" w:rsidP="00D069D7">
      <w:pPr>
        <w:jc w:val="both"/>
      </w:pPr>
      <w:r w:rsidRPr="000C2734">
        <w:t>composta dai signori:</w:t>
      </w:r>
    </w:p>
    <w:p w14:paraId="63745ACE" w14:textId="77777777" w:rsidR="000C2734" w:rsidRPr="000C2734" w:rsidRDefault="000C2734" w:rsidP="00D069D7">
      <w:pPr>
        <w:jc w:val="both"/>
      </w:pPr>
      <w:r w:rsidRPr="000C2734">
        <w:t>- Annibale                   MARINI        Presidente</w:t>
      </w:r>
    </w:p>
    <w:p w14:paraId="01CC7060" w14:textId="77777777" w:rsidR="000C2734" w:rsidRPr="000C2734" w:rsidRDefault="000C2734" w:rsidP="00D069D7">
      <w:pPr>
        <w:jc w:val="both"/>
      </w:pPr>
      <w:r w:rsidRPr="000C2734">
        <w:t>- Franco                      BILE                 Giudice     </w:t>
      </w:r>
    </w:p>
    <w:p w14:paraId="1AFFB6B1" w14:textId="77777777" w:rsidR="000C2734" w:rsidRPr="000C2734" w:rsidRDefault="000C2734" w:rsidP="00D069D7">
      <w:pPr>
        <w:jc w:val="both"/>
      </w:pPr>
      <w:r w:rsidRPr="000C2734">
        <w:t>- Giovanni Maria        FLICK                       "</w:t>
      </w:r>
    </w:p>
    <w:p w14:paraId="5F107766" w14:textId="77777777" w:rsidR="000C2734" w:rsidRPr="000C2734" w:rsidRDefault="000C2734" w:rsidP="00D069D7">
      <w:pPr>
        <w:jc w:val="both"/>
      </w:pPr>
      <w:r w:rsidRPr="000C2734">
        <w:t>- Francesco                 AMIRANTE              "</w:t>
      </w:r>
    </w:p>
    <w:p w14:paraId="15C15F65" w14:textId="77777777" w:rsidR="000C2734" w:rsidRPr="000C2734" w:rsidRDefault="000C2734" w:rsidP="00D069D7">
      <w:pPr>
        <w:jc w:val="both"/>
      </w:pPr>
      <w:r w:rsidRPr="000C2734">
        <w:t>- Ugo                          DE SIERVO              "</w:t>
      </w:r>
    </w:p>
    <w:p w14:paraId="36756947" w14:textId="77777777" w:rsidR="000C2734" w:rsidRPr="000C2734" w:rsidRDefault="000C2734" w:rsidP="00D069D7">
      <w:pPr>
        <w:jc w:val="both"/>
      </w:pPr>
      <w:r w:rsidRPr="000C2734">
        <w:t>- Romano                    VACCARELLA        "</w:t>
      </w:r>
    </w:p>
    <w:p w14:paraId="51549C7D" w14:textId="77777777" w:rsidR="000C2734" w:rsidRPr="000C2734" w:rsidRDefault="000C2734" w:rsidP="00D069D7">
      <w:pPr>
        <w:jc w:val="both"/>
      </w:pPr>
      <w:r w:rsidRPr="000C2734">
        <w:t>- Paolo                        MADDALENA         "</w:t>
      </w:r>
    </w:p>
    <w:p w14:paraId="36043D21" w14:textId="77777777" w:rsidR="000C2734" w:rsidRPr="000C2734" w:rsidRDefault="000C2734" w:rsidP="00D069D7">
      <w:pPr>
        <w:jc w:val="both"/>
      </w:pPr>
      <w:r w:rsidRPr="000C2734">
        <w:t>- Alfio                         FINOCCHIARO       "</w:t>
      </w:r>
    </w:p>
    <w:p w14:paraId="5BA9ED09" w14:textId="77777777" w:rsidR="000C2734" w:rsidRPr="000C2734" w:rsidRDefault="000C2734" w:rsidP="00D069D7">
      <w:pPr>
        <w:jc w:val="both"/>
      </w:pPr>
      <w:r w:rsidRPr="000C2734">
        <w:t>- Franco                      GALLO                     "</w:t>
      </w:r>
    </w:p>
    <w:p w14:paraId="20F74824" w14:textId="77777777" w:rsidR="000C2734" w:rsidRPr="000C2734" w:rsidRDefault="000C2734" w:rsidP="00D069D7">
      <w:pPr>
        <w:jc w:val="both"/>
      </w:pPr>
      <w:r w:rsidRPr="000C2734">
        <w:t>- Gaetano                    SILVESTRI               "</w:t>
      </w:r>
    </w:p>
    <w:p w14:paraId="499746B3" w14:textId="77777777" w:rsidR="000C2734" w:rsidRPr="000C2734" w:rsidRDefault="000C2734" w:rsidP="00D069D7">
      <w:pPr>
        <w:jc w:val="both"/>
      </w:pPr>
      <w:r w:rsidRPr="000C2734">
        <w:t>- Sabino                      CASSESE                  "</w:t>
      </w:r>
    </w:p>
    <w:p w14:paraId="4B800EA7" w14:textId="77777777" w:rsidR="000C2734" w:rsidRPr="000C2734" w:rsidRDefault="000C2734" w:rsidP="00D069D7">
      <w:pPr>
        <w:jc w:val="both"/>
      </w:pPr>
      <w:r w:rsidRPr="000C2734">
        <w:t>- Maria Rita                SAULLE                    "</w:t>
      </w:r>
    </w:p>
    <w:p w14:paraId="0ABEFD67" w14:textId="77777777" w:rsidR="000C2734" w:rsidRPr="000C2734" w:rsidRDefault="000C2734" w:rsidP="00D069D7">
      <w:pPr>
        <w:jc w:val="both"/>
      </w:pPr>
      <w:r w:rsidRPr="000C2734">
        <w:t>- Giuseppe                  TESAURO                 "</w:t>
      </w:r>
    </w:p>
    <w:p w14:paraId="5C0C1F00" w14:textId="77777777" w:rsidR="000C2734" w:rsidRPr="000C2734" w:rsidRDefault="000C2734" w:rsidP="00D069D7">
      <w:pPr>
        <w:jc w:val="both"/>
      </w:pPr>
      <w:r w:rsidRPr="000C2734">
        <w:t>ha pronunciato la seguente</w:t>
      </w:r>
    </w:p>
    <w:p w14:paraId="580E20E2" w14:textId="77777777" w:rsidR="000C2734" w:rsidRPr="000C2734" w:rsidRDefault="000C2734" w:rsidP="00D069D7">
      <w:pPr>
        <w:jc w:val="both"/>
      </w:pPr>
      <w:r w:rsidRPr="000C2734">
        <w:t>SENTENZA</w:t>
      </w:r>
    </w:p>
    <w:p w14:paraId="31106ECC" w14:textId="77777777" w:rsidR="000C2734" w:rsidRPr="000C2734" w:rsidRDefault="000C2734" w:rsidP="00D069D7">
      <w:pPr>
        <w:jc w:val="both"/>
      </w:pPr>
      <w:r w:rsidRPr="000C2734">
        <w:t>nel giudizio di legittimità costituzionale degli articoli 1, 2, 3, 4, 5, commi 3 e 4, 6, 7 e 8 del decreto-legge 22 novembre 2004, n. 279 (Disposizioni urgenti per assicurare la coesistenza tra le forme di agricoltura transgenica, convenzionale e biologica), convertito, con modificazioni, in legge 28 gennaio 2005, n. 5, promosso con ricorso della Regione Marche notificato il 22 marzo 2005, depositato in cancelleria il 30 marzo 2005 ed iscritto al n. 41 del registro ricorsi 2005.</w:t>
      </w:r>
    </w:p>
    <w:p w14:paraId="3D8C8B1A" w14:textId="09C3E59B" w:rsidR="000C2734" w:rsidRPr="000C2734" w:rsidRDefault="000C2734" w:rsidP="00D069D7">
      <w:pPr>
        <w:jc w:val="both"/>
      </w:pPr>
      <w:r w:rsidRPr="000C2734">
        <w:t>            </w:t>
      </w:r>
    </w:p>
    <w:p w14:paraId="53C144CD" w14:textId="77777777" w:rsidR="000C2734" w:rsidRPr="000C2734" w:rsidRDefault="000C2734" w:rsidP="00D069D7">
      <w:pPr>
        <w:jc w:val="both"/>
      </w:pPr>
      <w:r w:rsidRPr="000C2734">
        <w:rPr>
          <w:i/>
          <w:iCs/>
        </w:rPr>
        <w:t>Considerato in diritto</w:t>
      </w:r>
    </w:p>
    <w:p w14:paraId="38795CF1" w14:textId="77777777" w:rsidR="000C2734" w:rsidRPr="000C2734" w:rsidRDefault="000C2734" w:rsidP="00D069D7">
      <w:pPr>
        <w:jc w:val="both"/>
      </w:pPr>
      <w:r w:rsidRPr="00CF7D2D">
        <w:rPr>
          <w:b/>
          <w:bCs/>
        </w:rPr>
        <w:t>    1. – La Regione Marche ha impugnato gli articoli 1, 2, 3, 4, 5, commi 3 e 4, 6, 7 e 8 del decreto-legge 22 novembre 2004, n. 279 (Disposizioni urgenti per assicurare la coesistenza tra le forme di agricoltura transgenica, convenzionale e biologica), nel testo convertito, con modificazioni, dalla legge 28 gennaio 2005, n. 5, per violazione degli artt. 117, commi primo, secondo, lettera </w:t>
      </w:r>
      <w:r w:rsidRPr="00CF7D2D">
        <w:rPr>
          <w:b/>
          <w:bCs/>
          <w:i/>
          <w:iCs/>
        </w:rPr>
        <w:t>s</w:t>
      </w:r>
      <w:r w:rsidRPr="00CF7D2D">
        <w:rPr>
          <w:b/>
          <w:bCs/>
        </w:rPr>
        <w:t xml:space="preserve">), terzo, </w:t>
      </w:r>
      <w:r w:rsidRPr="00CF7D2D">
        <w:rPr>
          <w:b/>
          <w:bCs/>
        </w:rPr>
        <w:lastRenderedPageBreak/>
        <w:t>quarto, quinto e sesto, e 118 della Costituzione, anche in relazione agli artt. 9, 32, 33, 72, 76 e 77 della Costituzione</w:t>
      </w:r>
      <w:r w:rsidRPr="000C2734">
        <w:t>.</w:t>
      </w:r>
    </w:p>
    <w:p w14:paraId="0AC81758" w14:textId="5CA3AEA2" w:rsidR="00D069D7" w:rsidRPr="00D069D7" w:rsidRDefault="00D069D7" w:rsidP="00D069D7">
      <w:pPr>
        <w:jc w:val="both"/>
        <w:rPr>
          <w:b/>
          <w:bCs/>
        </w:rPr>
      </w:pPr>
      <w:r w:rsidRPr="00D069D7">
        <w:rPr>
          <w:b/>
          <w:bCs/>
        </w:rPr>
        <w:t>[…]</w:t>
      </w:r>
    </w:p>
    <w:p w14:paraId="6D13A0BE" w14:textId="2F6ACBA5" w:rsidR="000C2734" w:rsidRPr="00D069D7" w:rsidRDefault="000C2734" w:rsidP="00D069D7">
      <w:pPr>
        <w:jc w:val="both"/>
        <w:rPr>
          <w:b/>
          <w:bCs/>
        </w:rPr>
      </w:pPr>
      <w:r w:rsidRPr="00D069D7">
        <w:rPr>
          <w:b/>
          <w:bCs/>
        </w:rPr>
        <w:t>      Gli articoli 3, comma 1, 4, comma 3-</w:t>
      </w:r>
      <w:r w:rsidRPr="00D069D7">
        <w:rPr>
          <w:b/>
          <w:bCs/>
          <w:i/>
          <w:iCs/>
        </w:rPr>
        <w:t>bis</w:t>
      </w:r>
      <w:r w:rsidRPr="00D069D7">
        <w:rPr>
          <w:b/>
          <w:bCs/>
        </w:rPr>
        <w:t>, e 7, commi 2 e 4, del decreto-legge impugnato violerebbero anche il sesto comma dell'art. 117 della Costituzione, poiché tali disposizioni disciplinerebbero l'adozione di "</w:t>
      </w:r>
      <w:r w:rsidRPr="00D069D7">
        <w:rPr>
          <w:b/>
          <w:bCs/>
          <w:color w:val="EE0000"/>
        </w:rPr>
        <w:t>atti normativi di rango </w:t>
      </w:r>
      <w:proofErr w:type="spellStart"/>
      <w:r w:rsidRPr="00D069D7">
        <w:rPr>
          <w:b/>
          <w:bCs/>
          <w:color w:val="EE0000"/>
        </w:rPr>
        <w:t>sublegislativo</w:t>
      </w:r>
      <w:proofErr w:type="spellEnd"/>
      <w:r w:rsidRPr="00D069D7">
        <w:rPr>
          <w:b/>
          <w:bCs/>
        </w:rPr>
        <w:t xml:space="preserve">” </w:t>
      </w:r>
      <w:r w:rsidRPr="00D069D7">
        <w:rPr>
          <w:b/>
          <w:bCs/>
          <w:u w:val="single"/>
        </w:rPr>
        <w:t>in una materia che è oggetto di potestà legislativa residuale della Regione</w:t>
      </w:r>
      <w:r w:rsidR="00CF7D2D">
        <w:rPr>
          <w:b/>
          <w:bCs/>
          <w:u w:val="single"/>
        </w:rPr>
        <w:t xml:space="preserve"> [n.d.r.: agricoltura]</w:t>
      </w:r>
      <w:r w:rsidRPr="00D069D7">
        <w:rPr>
          <w:b/>
          <w:bCs/>
        </w:rPr>
        <w:t>. Qualora, invece, si ritenesse che tali atti abbiano carattere primario, sarebbe leso l'art. 76 della Costituzione.</w:t>
      </w:r>
      <w:r w:rsidR="00D069D7" w:rsidRPr="00D069D7">
        <w:rPr>
          <w:b/>
          <w:bCs/>
        </w:rPr>
        <w:t xml:space="preserve"> </w:t>
      </w:r>
    </w:p>
    <w:p w14:paraId="274CC07A" w14:textId="7B906E70" w:rsidR="000C2734" w:rsidRPr="000C2734" w:rsidRDefault="000C2734" w:rsidP="005945EC">
      <w:pPr>
        <w:jc w:val="both"/>
      </w:pPr>
      <w:r w:rsidRPr="000C2734">
        <w:t>            </w:t>
      </w:r>
      <w:r w:rsidR="005945EC">
        <w:t>[…]</w:t>
      </w:r>
    </w:p>
    <w:p w14:paraId="4680CF6D" w14:textId="77777777" w:rsidR="000C2734" w:rsidRPr="00CF7D2D" w:rsidRDefault="000C2734" w:rsidP="00D069D7">
      <w:pPr>
        <w:jc w:val="both"/>
        <w:rPr>
          <w:b/>
          <w:bCs/>
        </w:rPr>
      </w:pPr>
      <w:r w:rsidRPr="005945EC">
        <w:rPr>
          <w:i/>
          <w:iCs/>
        </w:rPr>
        <w:t>            </w:t>
      </w:r>
      <w:r w:rsidRPr="00CF7D2D">
        <w:rPr>
          <w:b/>
          <w:bCs/>
        </w:rPr>
        <w:t xml:space="preserve">Il decreto interministeriale previsto dall'art. 8, comma 6, del d.lgs. n. 224 del 2003 è stato adottato in data 19 gennaio 2005 (Prescrizioni per la valutazione del rischio per l'agrobiodiversità, i sistemi agrari e la filiera agroalimentare relativamente alle attività di rilascio deliberato nell'ambiente di OGM per qualsiasi fine diverso dall'immissione sul mercato): questo testo normativo reca dettagliate previsioni concernenti il "rischio per l'agrobiodiversità, i sistemi agrari e la filiera agroalimentare”, attribuendo  ad un decreto interministeriale il potere di definire "i protocolli tecnici operativi per la gestione del rischio delle singole specie GM” (art. 1, comma 2). Al tempo </w:t>
      </w:r>
      <w:proofErr w:type="gramStart"/>
      <w:r w:rsidRPr="00CF7D2D">
        <w:rPr>
          <w:b/>
          <w:bCs/>
        </w:rPr>
        <w:t>stesso,  alcune</w:t>
      </w:r>
      <w:proofErr w:type="gramEnd"/>
      <w:r w:rsidRPr="00CF7D2D">
        <w:rPr>
          <w:b/>
          <w:bCs/>
        </w:rPr>
        <w:t xml:space="preserve"> funzioni vengono attribuite </w:t>
      </w:r>
      <w:proofErr w:type="gramStart"/>
      <w:r w:rsidRPr="00CF7D2D">
        <w:rPr>
          <w:b/>
          <w:bCs/>
        </w:rPr>
        <w:t>alle  Regioni</w:t>
      </w:r>
      <w:proofErr w:type="gramEnd"/>
      <w:r w:rsidRPr="00CF7D2D">
        <w:rPr>
          <w:b/>
          <w:bCs/>
        </w:rPr>
        <w:t xml:space="preserve"> e queste compongono in maggioranza il Comitato tecnico di coordinamento, che opera presso il Ministero delle politiche agricole e forestali.</w:t>
      </w:r>
    </w:p>
    <w:p w14:paraId="3FD81705" w14:textId="11C5629B" w:rsidR="00CF7D2D" w:rsidRDefault="00CF7D2D" w:rsidP="00D069D7">
      <w:pPr>
        <w:jc w:val="both"/>
        <w:rPr>
          <w:b/>
          <w:bCs/>
        </w:rPr>
      </w:pPr>
      <w:r>
        <w:rPr>
          <w:b/>
          <w:bCs/>
        </w:rPr>
        <w:t>[…]</w:t>
      </w:r>
    </w:p>
    <w:p w14:paraId="6B86513C" w14:textId="78D93520" w:rsidR="000C2734" w:rsidRPr="005945EC" w:rsidRDefault="000C2734" w:rsidP="00D069D7">
      <w:pPr>
        <w:jc w:val="both"/>
        <w:rPr>
          <w:b/>
          <w:bCs/>
        </w:rPr>
      </w:pPr>
      <w:r w:rsidRPr="005945EC">
        <w:rPr>
          <w:b/>
          <w:bCs/>
        </w:rPr>
        <w:t>            6 – Per risolvere le ulteriori questioni poste dal ricorso della Regione ricorrente, occorre confrontare il complesso quadro normativo in tema di organismi geneticamente modificati con la ripartizione delle competenze che è contenuta nel Titolo V della Costituzione.</w:t>
      </w:r>
    </w:p>
    <w:p w14:paraId="1AE75B31" w14:textId="77777777" w:rsidR="000C2734" w:rsidRPr="005945EC" w:rsidRDefault="000C2734" w:rsidP="00D069D7">
      <w:pPr>
        <w:jc w:val="both"/>
        <w:rPr>
          <w:b/>
          <w:bCs/>
        </w:rPr>
      </w:pPr>
      <w:r w:rsidRPr="005945EC">
        <w:rPr>
          <w:b/>
          <w:bCs/>
        </w:rPr>
        <w:t>            Non vi sono dubbi che il d.lgs. 8 luglio 2003 n. 224, di ricezione della direttiva 2001/18/CE, ed il </w:t>
      </w:r>
      <w:proofErr w:type="spellStart"/>
      <w:r w:rsidRPr="005945EC">
        <w:rPr>
          <w:b/>
          <w:bCs/>
        </w:rPr>
        <w:t>d.m.</w:t>
      </w:r>
      <w:proofErr w:type="spellEnd"/>
      <w:r w:rsidRPr="005945EC">
        <w:rPr>
          <w:b/>
          <w:bCs/>
        </w:rPr>
        <w:t xml:space="preserve"> 19 gennaio 2005, che ad esso ha dato attuazione, operano in un'area normativa riconducibile </w:t>
      </w:r>
      <w:r w:rsidRPr="001231CD">
        <w:rPr>
          <w:b/>
          <w:bCs/>
          <w:color w:val="EE0000"/>
          <w:u w:val="single"/>
        </w:rPr>
        <w:t>in via primaria alla tutela dell'ambiente</w:t>
      </w:r>
      <w:r w:rsidRPr="005945EC">
        <w:rPr>
          <w:b/>
          <w:bCs/>
        </w:rPr>
        <w:t xml:space="preserve">, e </w:t>
      </w:r>
      <w:r w:rsidRPr="001231CD">
        <w:rPr>
          <w:b/>
          <w:bCs/>
          <w:color w:val="EE0000"/>
        </w:rPr>
        <w:t xml:space="preserve">solo </w:t>
      </w:r>
      <w:r w:rsidRPr="001231CD">
        <w:rPr>
          <w:b/>
          <w:bCs/>
          <w:color w:val="EE0000"/>
          <w:u w:val="single"/>
        </w:rPr>
        <w:t>in via secondaria alla tutela della salute e della ricerca scientifica</w:t>
      </w:r>
      <w:r w:rsidRPr="005945EC">
        <w:rPr>
          <w:b/>
          <w:bCs/>
        </w:rPr>
        <w:t xml:space="preserve">. D'altronde appare significativo del condiviso primato in materia dello Stato, pur in presenza di alcune competenze regionali, sia il riconoscimento in esse di un ruolo sostanzialmente secondario delle Regioni, sia la stessa mancata </w:t>
      </w:r>
      <w:proofErr w:type="gramStart"/>
      <w:r w:rsidRPr="005945EC">
        <w:rPr>
          <w:b/>
          <w:bCs/>
        </w:rPr>
        <w:t>impugnativa  di</w:t>
      </w:r>
      <w:proofErr w:type="gramEnd"/>
      <w:r w:rsidRPr="005945EC">
        <w:rPr>
          <w:b/>
          <w:bCs/>
        </w:rPr>
        <w:t xml:space="preserve"> questi atti normativi statali da parte delle Regioni.</w:t>
      </w:r>
    </w:p>
    <w:p w14:paraId="4509D5BA" w14:textId="6FB9C7C9" w:rsidR="001231CD" w:rsidRPr="005945EC" w:rsidRDefault="000C2734" w:rsidP="00D069D7">
      <w:pPr>
        <w:jc w:val="both"/>
        <w:rPr>
          <w:b/>
          <w:bCs/>
        </w:rPr>
      </w:pPr>
      <w:r w:rsidRPr="005945EC">
        <w:rPr>
          <w:b/>
          <w:bCs/>
        </w:rPr>
        <w:t>            </w:t>
      </w:r>
      <w:r w:rsidR="001231CD">
        <w:rPr>
          <w:b/>
          <w:bCs/>
        </w:rPr>
        <w:t>[…]</w:t>
      </w:r>
    </w:p>
    <w:p w14:paraId="407D48F2" w14:textId="77777777" w:rsidR="000C2734" w:rsidRPr="005945EC" w:rsidRDefault="000C2734" w:rsidP="00D069D7">
      <w:pPr>
        <w:jc w:val="both"/>
        <w:rPr>
          <w:b/>
          <w:bCs/>
        </w:rPr>
      </w:pPr>
      <w:r w:rsidRPr="005945EC">
        <w:rPr>
          <w:b/>
          <w:bCs/>
        </w:rPr>
        <w:t xml:space="preserve">    Per la parte, quindi, che si riferisce al principio di coesistenza e che implicitamente ribadisce la liceità dell'utilizzazione in agricoltura degli OGM autorizzati a livello comunitario, il legislatore statale con l'adozione del decreto-legge n. 279 del 2004 ha esercitato la competenza legislativa esclusiva dello Stato </w:t>
      </w:r>
      <w:r w:rsidRPr="001231CD">
        <w:rPr>
          <w:b/>
          <w:bCs/>
          <w:color w:val="EE0000"/>
        </w:rPr>
        <w:t xml:space="preserve">in tema di tutela dell'ambiente </w:t>
      </w:r>
      <w:r w:rsidRPr="005945EC">
        <w:rPr>
          <w:b/>
          <w:bCs/>
        </w:rPr>
        <w:t>(art. 117, secondo comma, lettera </w:t>
      </w:r>
      <w:r w:rsidRPr="005945EC">
        <w:rPr>
          <w:b/>
          <w:bCs/>
          <w:i/>
          <w:iCs/>
        </w:rPr>
        <w:t>s</w:t>
      </w:r>
      <w:r w:rsidRPr="005945EC">
        <w:rPr>
          <w:b/>
          <w:bCs/>
        </w:rPr>
        <w:t xml:space="preserve">, della Costituzione), nonché </w:t>
      </w:r>
      <w:r w:rsidRPr="001231CD">
        <w:rPr>
          <w:b/>
          <w:bCs/>
          <w:color w:val="EE0000"/>
        </w:rPr>
        <w:t xml:space="preserve">quella concorrente in tema di tutela della salute </w:t>
      </w:r>
      <w:r w:rsidRPr="005945EC">
        <w:rPr>
          <w:b/>
          <w:bCs/>
        </w:rPr>
        <w:t>(art. 117, terzo comma, della Costituzione), con ciò anche determinando l'abrogazione per incompatibilità dei divieti e delle limitazioni in tema di coltivazione di OGM che erano contenuti in alcune legislazioni regionali.</w:t>
      </w:r>
    </w:p>
    <w:p w14:paraId="373F1FC4" w14:textId="7582AA3E" w:rsidR="001231CD" w:rsidRDefault="001231CD" w:rsidP="00D069D7">
      <w:pPr>
        <w:jc w:val="both"/>
        <w:rPr>
          <w:b/>
          <w:bCs/>
        </w:rPr>
      </w:pPr>
      <w:r>
        <w:rPr>
          <w:b/>
          <w:bCs/>
        </w:rPr>
        <w:t>[…]</w:t>
      </w:r>
    </w:p>
    <w:p w14:paraId="1B056DA2" w14:textId="3305E630" w:rsidR="000C2734" w:rsidRPr="001231CD" w:rsidRDefault="000C2734" w:rsidP="00D069D7">
      <w:pPr>
        <w:jc w:val="both"/>
        <w:rPr>
          <w:b/>
          <w:bCs/>
          <w:u w:val="single"/>
        </w:rPr>
      </w:pPr>
      <w:r w:rsidRPr="005945EC">
        <w:rPr>
          <w:b/>
          <w:bCs/>
        </w:rPr>
        <w:t xml:space="preserve">            7. – Venendo all'esame delle questioni poste sulle ulteriori disposizioni impugnate, la Corte osserva che, mentre il rispetto del principio di coesistenza delle colture transgeniche con le forme di agricoltura convenzionale e biologica inerisce ai principi di </w:t>
      </w:r>
      <w:r w:rsidRPr="005945EC">
        <w:rPr>
          <w:b/>
          <w:bCs/>
          <w:color w:val="EE0000"/>
          <w:u w:val="single"/>
        </w:rPr>
        <w:t>tutela ambientale</w:t>
      </w:r>
      <w:r w:rsidRPr="005945EC">
        <w:rPr>
          <w:b/>
          <w:bCs/>
          <w:color w:val="EE0000"/>
        </w:rPr>
        <w:t xml:space="preserve"> </w:t>
      </w:r>
      <w:r w:rsidRPr="005945EC">
        <w:rPr>
          <w:b/>
          <w:bCs/>
        </w:rPr>
        <w:t xml:space="preserve">elaborati dalla normativa comunitaria e dalla legislazione statale, invece la coltivazione a fini produttivi riguarda chiaramente il «nocciolo duro della materia </w:t>
      </w:r>
      <w:r w:rsidRPr="005945EC">
        <w:rPr>
          <w:b/>
          <w:bCs/>
          <w:color w:val="EE0000"/>
          <w:u w:val="single"/>
        </w:rPr>
        <w:t>agricoltura</w:t>
      </w:r>
      <w:r w:rsidRPr="005945EC">
        <w:rPr>
          <w:b/>
          <w:bCs/>
        </w:rPr>
        <w:t xml:space="preserve">, che ha a che fare con la produzione di vegetali </w:t>
      </w:r>
      <w:proofErr w:type="spellStart"/>
      <w:r w:rsidRPr="005945EC">
        <w:rPr>
          <w:b/>
          <w:bCs/>
        </w:rPr>
        <w:t>ed</w:t>
      </w:r>
      <w:proofErr w:type="spellEnd"/>
      <w:r w:rsidRPr="005945EC">
        <w:rPr>
          <w:b/>
          <w:bCs/>
        </w:rPr>
        <w:t xml:space="preserve"> animali destinati all'alimentazione» (come si esprime la sentenza di questa </w:t>
      </w:r>
      <w:hyperlink r:id="rId4" w:history="1">
        <w:r w:rsidRPr="005945EC">
          <w:rPr>
            <w:rStyle w:val="Collegamentoipertestuale"/>
            <w:b/>
            <w:bCs/>
          </w:rPr>
          <w:t>Corte n. 12 del 2004</w:t>
        </w:r>
      </w:hyperlink>
      <w:r w:rsidRPr="005945EC">
        <w:rPr>
          <w:b/>
          <w:bCs/>
        </w:rPr>
        <w:t>). Infatti, il decreto-legge n. 279 del 2004, mentre esclude in modo espresso dalla sua area di efficacia proprio le colture transgeniche realizzate sulla base del </w:t>
      </w:r>
      <w:proofErr w:type="spellStart"/>
      <w:r w:rsidRPr="005945EC">
        <w:rPr>
          <w:b/>
          <w:bCs/>
        </w:rPr>
        <w:t>d.m.</w:t>
      </w:r>
      <w:proofErr w:type="spellEnd"/>
      <w:r w:rsidRPr="005945EC">
        <w:rPr>
          <w:b/>
          <w:bCs/>
        </w:rPr>
        <w:t xml:space="preserve"> 19 gennaio 2005, atto di attuazione del d.lgs. 8 luglio 2003 n. 224 (che, a sua volta, recepisce la direttiva 2001/18/CE), mira palesemente </w:t>
      </w:r>
      <w:r w:rsidRPr="001231CD">
        <w:rPr>
          <w:b/>
          <w:bCs/>
          <w:u w:val="single"/>
        </w:rPr>
        <w:t xml:space="preserve">a disciplinare la produzione agricola in presenza anche </w:t>
      </w:r>
      <w:proofErr w:type="gramStart"/>
      <w:r w:rsidRPr="001231CD">
        <w:rPr>
          <w:b/>
          <w:bCs/>
          <w:u w:val="single"/>
        </w:rPr>
        <w:t>di  colture</w:t>
      </w:r>
      <w:proofErr w:type="gramEnd"/>
      <w:r w:rsidRPr="001231CD">
        <w:rPr>
          <w:b/>
          <w:bCs/>
          <w:u w:val="single"/>
        </w:rPr>
        <w:t xml:space="preserve"> transgeniche.</w:t>
      </w:r>
      <w:r w:rsidR="000154DF">
        <w:rPr>
          <w:b/>
          <w:bCs/>
          <w:u w:val="single"/>
        </w:rPr>
        <w:t xml:space="preserve"> </w:t>
      </w:r>
    </w:p>
    <w:p w14:paraId="3A4BA828" w14:textId="77777777" w:rsidR="000C2734" w:rsidRPr="000C2734" w:rsidRDefault="000C2734" w:rsidP="00D069D7">
      <w:pPr>
        <w:jc w:val="both"/>
      </w:pPr>
      <w:r w:rsidRPr="000C2734">
        <w:t>            </w:t>
      </w:r>
      <w:r w:rsidRPr="005945EC">
        <w:rPr>
          <w:b/>
          <w:bCs/>
        </w:rPr>
        <w:t xml:space="preserve">Ciò non toglie che questa disciplina, pur essenzialmente riferita alla materia </w:t>
      </w:r>
      <w:r w:rsidRPr="00180794">
        <w:rPr>
          <w:b/>
          <w:bCs/>
          <w:color w:val="EE0000"/>
        </w:rPr>
        <w:t>agricoltura</w:t>
      </w:r>
      <w:r w:rsidRPr="005945EC">
        <w:rPr>
          <w:b/>
          <w:bCs/>
        </w:rPr>
        <w:t>, di competenza delle Regioni ai sensi del quarto comma dell'art. 117 Cost. (</w:t>
      </w:r>
      <w:hyperlink r:id="rId5" w:history="1">
        <w:r w:rsidRPr="005945EC">
          <w:rPr>
            <w:rStyle w:val="Collegamentoipertestuale"/>
            <w:b/>
            <w:bCs/>
          </w:rPr>
          <w:t>sentenze n. 282</w:t>
        </w:r>
      </w:hyperlink>
      <w:r w:rsidRPr="005945EC">
        <w:rPr>
          <w:b/>
          <w:bCs/>
        </w:rPr>
        <w:t> e </w:t>
      </w:r>
      <w:hyperlink r:id="rId6" w:history="1">
        <w:r w:rsidRPr="005945EC">
          <w:rPr>
            <w:rStyle w:val="Collegamentoipertestuale"/>
            <w:b/>
            <w:bCs/>
          </w:rPr>
          <w:t>n. 12 del 2004</w:t>
        </w:r>
      </w:hyperlink>
      <w:r w:rsidRPr="005945EC">
        <w:rPr>
          <w:b/>
          <w:bCs/>
        </w:rPr>
        <w:t xml:space="preserve">), debba o possa essere accompagnata </w:t>
      </w:r>
      <w:r w:rsidRPr="005945EC">
        <w:rPr>
          <w:b/>
          <w:bCs/>
          <w:u w:val="single"/>
        </w:rPr>
        <w:t xml:space="preserve">dal parallelo esercizio della legislazione statale </w:t>
      </w:r>
      <w:r w:rsidRPr="00F97BB2">
        <w:rPr>
          <w:b/>
          <w:bCs/>
          <w:color w:val="EE0000"/>
          <w:u w:val="single"/>
        </w:rPr>
        <w:t>in ambiti di esclusiva</w:t>
      </w:r>
      <w:r w:rsidRPr="005945EC">
        <w:rPr>
          <w:b/>
          <w:bCs/>
          <w:u w:val="single"/>
        </w:rPr>
        <w:t xml:space="preserve"> competenza dello Stato</w:t>
      </w:r>
      <w:r w:rsidRPr="005945EC">
        <w:rPr>
          <w:b/>
          <w:bCs/>
        </w:rPr>
        <w:t xml:space="preserve"> (come, ad esempio, per quanto attiene alla disciplina dei profili della </w:t>
      </w:r>
      <w:r w:rsidRPr="000154DF">
        <w:rPr>
          <w:b/>
          <w:bCs/>
          <w:color w:val="EE0000"/>
          <w:u w:val="single"/>
        </w:rPr>
        <w:t>responsabilità dei produttori agricoli</w:t>
      </w:r>
      <w:r w:rsidRPr="005945EC">
        <w:rPr>
          <w:b/>
          <w:bCs/>
        </w:rPr>
        <w:t xml:space="preserve">) o in ambiti di </w:t>
      </w:r>
      <w:r w:rsidRPr="00F97BB2">
        <w:rPr>
          <w:b/>
          <w:bCs/>
          <w:color w:val="EE0000"/>
        </w:rPr>
        <w:t xml:space="preserve">determinazione </w:t>
      </w:r>
      <w:r w:rsidRPr="00F97BB2">
        <w:rPr>
          <w:b/>
          <w:bCs/>
          <w:color w:val="EE0000"/>
          <w:u w:val="single"/>
        </w:rPr>
        <w:t>dei principi fondamentali</w:t>
      </w:r>
      <w:r w:rsidRPr="00F97BB2">
        <w:rPr>
          <w:b/>
          <w:bCs/>
          <w:color w:val="EE0000"/>
        </w:rPr>
        <w:t>,</w:t>
      </w:r>
      <w:r w:rsidRPr="005945EC">
        <w:rPr>
          <w:b/>
          <w:bCs/>
        </w:rPr>
        <w:t xml:space="preserve"> ove vengano in gioco materie legislative di tipo concorrente</w:t>
      </w:r>
      <w:r w:rsidRPr="000C2734">
        <w:t>.</w:t>
      </w:r>
    </w:p>
    <w:p w14:paraId="037EEB3D" w14:textId="77777777" w:rsidR="000C2734" w:rsidRPr="005945EC" w:rsidRDefault="000C2734" w:rsidP="00D069D7">
      <w:pPr>
        <w:jc w:val="both"/>
        <w:rPr>
          <w:b/>
          <w:bCs/>
        </w:rPr>
      </w:pPr>
      <w:r w:rsidRPr="000C2734">
        <w:t>            </w:t>
      </w:r>
      <w:r w:rsidRPr="005945EC">
        <w:rPr>
          <w:b/>
          <w:bCs/>
        </w:rPr>
        <w:t>Tale non è tuttavia il caso degli artt. 3, 4 e 7 del decreto-legge n. 279 del 2004, quali convertiti dalla legge n. 5 del 2005.</w:t>
      </w:r>
    </w:p>
    <w:p w14:paraId="37133B6F" w14:textId="77777777" w:rsidR="000C2734" w:rsidRPr="005945EC" w:rsidRDefault="000C2734" w:rsidP="00D069D7">
      <w:pPr>
        <w:jc w:val="both"/>
        <w:rPr>
          <w:b/>
          <w:bCs/>
        </w:rPr>
      </w:pPr>
      <w:r w:rsidRPr="005945EC">
        <w:rPr>
          <w:b/>
          <w:bCs/>
        </w:rPr>
        <w:t xml:space="preserve">            In queste norme anzitutto si stabiliscono le modalità per adottare le "norme quadro per la coesistenza” (art. 3), prevedendo </w:t>
      </w:r>
      <w:r w:rsidRPr="005945EC">
        <w:rPr>
          <w:b/>
          <w:bCs/>
          <w:color w:val="EE0000"/>
          <w:u w:val="single"/>
        </w:rPr>
        <w:t>un atto statale dalla indefinibile natura giuridica</w:t>
      </w:r>
      <w:r w:rsidRPr="005945EC">
        <w:rPr>
          <w:b/>
          <w:bCs/>
          <w:color w:val="EE0000"/>
        </w:rPr>
        <w:t xml:space="preserve"> </w:t>
      </w:r>
      <w:r w:rsidRPr="005945EC">
        <w:rPr>
          <w:b/>
          <w:bCs/>
        </w:rPr>
        <w:t xml:space="preserve">(cui peraltro si attribuisce la disciplina di materie che necessiterebbero di una regolamentazione tramite fonti primarie). In secondo luogo, si prevede lo sviluppo ulteriore di queste "norme quadro” tramite piani regionali di natura amministrativa (art. 4). Scelte del genere sono peraltro </w:t>
      </w:r>
      <w:r w:rsidRPr="00D8604F">
        <w:rPr>
          <w:b/>
          <w:bCs/>
          <w:u w:val="single"/>
        </w:rPr>
        <w:t>lesive della competenza legislativa delle Regioni nella materia agricoltura</w:t>
      </w:r>
      <w:r w:rsidRPr="005945EC">
        <w:rPr>
          <w:b/>
          <w:bCs/>
        </w:rPr>
        <w:t xml:space="preserve">, dal momento che non può essere negato, in tale ambito, l'esercizio del potere legislativo da parte delle Regioni per disciplinare le modalità di applicazione del principio di coesistenza nei diversi territori regionali, </w:t>
      </w:r>
      <w:r w:rsidRPr="00D8604F">
        <w:rPr>
          <w:b/>
          <w:bCs/>
          <w:u w:val="single"/>
        </w:rPr>
        <w:t xml:space="preserve">notoriamente molto differenziati </w:t>
      </w:r>
      <w:r w:rsidRPr="005945EC">
        <w:rPr>
          <w:b/>
          <w:bCs/>
        </w:rPr>
        <w:t>dal punto di vista morfologico e produttivo. Infine, neppure appare giustificabile la creazione di un nuovo organo consultivo statale, strettamente strumentale all'esercizio dei poteri ministeriali di cui all'art. 3 (art. 7).</w:t>
      </w:r>
    </w:p>
    <w:p w14:paraId="77DBD49B" w14:textId="121B3ED8" w:rsidR="000C2734" w:rsidRPr="000C2734" w:rsidRDefault="000C2734" w:rsidP="00D069D7">
      <w:pPr>
        <w:jc w:val="both"/>
      </w:pPr>
      <w:r w:rsidRPr="000C2734">
        <w:t>            </w:t>
      </w:r>
      <w:r w:rsidRPr="00D8604F">
        <w:rPr>
          <w:b/>
          <w:bCs/>
        </w:rPr>
        <w:t>Tali disposizioni devono pertanto essere dichiarate costituzionalmente illegittime</w:t>
      </w:r>
      <w:r w:rsidRPr="000C2734">
        <w:t>.</w:t>
      </w:r>
    </w:p>
    <w:p w14:paraId="39DEE6F1" w14:textId="347C301E" w:rsidR="00CF7D2D" w:rsidRDefault="00CF7D2D" w:rsidP="00D069D7">
      <w:pPr>
        <w:jc w:val="both"/>
      </w:pPr>
      <w:r>
        <w:t>[…]</w:t>
      </w:r>
    </w:p>
    <w:p w14:paraId="03E661D0" w14:textId="585B191A" w:rsidR="000C2734" w:rsidRPr="000C2734" w:rsidRDefault="000C2734" w:rsidP="00D069D7">
      <w:pPr>
        <w:jc w:val="both"/>
      </w:pPr>
      <w:r w:rsidRPr="000C2734">
        <w:t>PER QUESTI MOTIVI</w:t>
      </w:r>
    </w:p>
    <w:p w14:paraId="38432841" w14:textId="77777777" w:rsidR="000C2734" w:rsidRPr="000C2734" w:rsidRDefault="000C2734" w:rsidP="00D069D7">
      <w:pPr>
        <w:jc w:val="both"/>
      </w:pPr>
      <w:r w:rsidRPr="000C2734">
        <w:t>LA CORTE COSTITUZIONALE</w:t>
      </w:r>
    </w:p>
    <w:p w14:paraId="036C083B" w14:textId="77777777" w:rsidR="000C2734" w:rsidRPr="000C2734" w:rsidRDefault="000C2734" w:rsidP="00D069D7">
      <w:pPr>
        <w:jc w:val="both"/>
      </w:pPr>
      <w:r w:rsidRPr="000C2734">
        <w:rPr>
          <w:i/>
          <w:iCs/>
        </w:rPr>
        <w:t>    dichiara</w:t>
      </w:r>
      <w:r w:rsidRPr="000C2734">
        <w:t> inammissibile l'intervento in giudizio dell'Associazione Sementieri Mediterranei;</w:t>
      </w:r>
    </w:p>
    <w:p w14:paraId="62845EE7" w14:textId="77777777" w:rsidR="000C2734" w:rsidRPr="000C2734" w:rsidRDefault="000C2734" w:rsidP="00D069D7">
      <w:pPr>
        <w:jc w:val="both"/>
      </w:pPr>
      <w:r w:rsidRPr="000C2734">
        <w:rPr>
          <w:i/>
          <w:iCs/>
        </w:rPr>
        <w:t>    dichiara</w:t>
      </w:r>
      <w:r w:rsidRPr="000C2734">
        <w:t xml:space="preserve"> l'illegittimità costituzionale degli articoli 3, 4, 6, comma 1, e 7 del decreto-legge 22 novembre 2004, n. 279 (Disposizioni urgenti per assicurare la coesistenza tra le forme di agricoltura transgenica, convenzionale e biologica), convertito in legge, con modificazioni, dalla legge 28 gennaio 2005, n. </w:t>
      </w:r>
      <w:proofErr w:type="gramStart"/>
      <w:r w:rsidRPr="000C2734">
        <w:t>5 ;</w:t>
      </w:r>
      <w:proofErr w:type="gramEnd"/>
    </w:p>
    <w:p w14:paraId="0B39A8DA" w14:textId="77777777" w:rsidR="000C2734" w:rsidRPr="000C2734" w:rsidRDefault="000C2734" w:rsidP="00D069D7">
      <w:pPr>
        <w:jc w:val="both"/>
      </w:pPr>
      <w:r w:rsidRPr="000C2734">
        <w:rPr>
          <w:i/>
          <w:iCs/>
        </w:rPr>
        <w:t>    dichiara</w:t>
      </w:r>
      <w:r w:rsidRPr="000C2734">
        <w:t> la conseguente illegittimità costituzionale degli articoli 5, commi 3 e 4, 6, comma 2, e 8 del decreto-legge 22 novembre 2004, n. 279, convertito in legge, con modificazioni, dalla legge 28 gennaio 2005, n. 5;</w:t>
      </w:r>
    </w:p>
    <w:p w14:paraId="3E0F5A02" w14:textId="77777777" w:rsidR="000C2734" w:rsidRPr="000C2734" w:rsidRDefault="000C2734" w:rsidP="00D069D7">
      <w:pPr>
        <w:jc w:val="both"/>
      </w:pPr>
      <w:r w:rsidRPr="000C2734">
        <w:rPr>
          <w:i/>
          <w:iCs/>
        </w:rPr>
        <w:t>    dichiara </w:t>
      </w:r>
      <w:r w:rsidRPr="000C2734">
        <w:t>inammissibile la questione di legittimità costituzionale degli artt. 1, 2, 3, 4, 5, commi 3 e 4, 6, 7 e 8 del decreto-legge 22 novembre 2004, n. 279, convertito in legge, con modificazioni, dalla legge 28 gennaio 2005, n. 5, sollevata dalla Regione Marche in relazione agli articoli 9, 32, 33 e 117, secondo comma, lettera </w:t>
      </w:r>
      <w:r w:rsidRPr="000C2734">
        <w:rPr>
          <w:i/>
          <w:iCs/>
        </w:rPr>
        <w:t>s</w:t>
      </w:r>
      <w:r w:rsidRPr="000C2734">
        <w:t>), della Costituzione;</w:t>
      </w:r>
    </w:p>
    <w:p w14:paraId="6DFCDC03" w14:textId="77777777" w:rsidR="000C2734" w:rsidRPr="000C2734" w:rsidRDefault="000C2734" w:rsidP="00D069D7">
      <w:pPr>
        <w:jc w:val="both"/>
      </w:pPr>
      <w:r w:rsidRPr="000C2734">
        <w:rPr>
          <w:i/>
          <w:iCs/>
        </w:rPr>
        <w:t>    dichiara </w:t>
      </w:r>
      <w:r w:rsidRPr="000C2734">
        <w:t>non fondate le questioni di legittimità costituzionale degli articoli 1 e 2 del decreto-legge n. 279 del 2004, convertito in legge con modificazioni dalla legge n. 5 del 2005, sollevate dalla Regione Marche in relazione agli articoli 72, 76, 77, 117, commi primo, terzo, quarto e quinto della Costituzione.</w:t>
      </w:r>
    </w:p>
    <w:p w14:paraId="18913E67" w14:textId="77777777" w:rsidR="000C2734" w:rsidRPr="000C2734" w:rsidRDefault="000C2734" w:rsidP="00D069D7">
      <w:pPr>
        <w:jc w:val="both"/>
      </w:pPr>
      <w:r w:rsidRPr="000C2734">
        <w:t>    Così deciso in Roma, nella sede della Corte costituzionale, Palazzo della Consulta</w:t>
      </w:r>
      <w:r w:rsidRPr="000C2734">
        <w:rPr>
          <w:b/>
          <w:bCs/>
        </w:rPr>
        <w:t>, </w:t>
      </w:r>
      <w:r w:rsidRPr="000C2734">
        <w:t>l'8 marzo 2006.</w:t>
      </w:r>
    </w:p>
    <w:p w14:paraId="1713AAB2" w14:textId="77777777" w:rsidR="000C2734" w:rsidRPr="000C2734" w:rsidRDefault="000C2734" w:rsidP="00D069D7">
      <w:pPr>
        <w:jc w:val="both"/>
      </w:pPr>
      <w:r w:rsidRPr="000C2734">
        <w:t>Annibale MARINI, Presidente</w:t>
      </w:r>
    </w:p>
    <w:p w14:paraId="688827C2" w14:textId="77777777" w:rsidR="000C2734" w:rsidRPr="000C2734" w:rsidRDefault="000C2734" w:rsidP="00D069D7">
      <w:pPr>
        <w:jc w:val="both"/>
      </w:pPr>
      <w:r w:rsidRPr="000C2734">
        <w:t>Ugo DE SIERVO, Redattore</w:t>
      </w:r>
    </w:p>
    <w:p w14:paraId="4A6A270D" w14:textId="77777777" w:rsidR="000C2734" w:rsidRPr="000C2734" w:rsidRDefault="000C2734" w:rsidP="00D069D7">
      <w:pPr>
        <w:jc w:val="both"/>
      </w:pPr>
      <w:r w:rsidRPr="000C2734">
        <w:t>Depositata in Cancelleria il 17 marzo 2006.</w:t>
      </w:r>
    </w:p>
    <w:p w14:paraId="6568F4F0" w14:textId="77777777" w:rsidR="000C2734" w:rsidRPr="000C2734" w:rsidRDefault="000C2734" w:rsidP="00D069D7">
      <w:pPr>
        <w:jc w:val="both"/>
      </w:pPr>
      <w:r w:rsidRPr="000C2734">
        <w:t> </w:t>
      </w:r>
    </w:p>
    <w:p w14:paraId="4EA1AF75" w14:textId="77777777" w:rsidR="00B50B1F" w:rsidRDefault="00B50B1F" w:rsidP="00D069D7">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240B"/>
    <w:rsid w:val="000154DF"/>
    <w:rsid w:val="00035BBD"/>
    <w:rsid w:val="000C2734"/>
    <w:rsid w:val="001231CD"/>
    <w:rsid w:val="00180794"/>
    <w:rsid w:val="005945EC"/>
    <w:rsid w:val="00995D8F"/>
    <w:rsid w:val="009C6BC5"/>
    <w:rsid w:val="00B50B1F"/>
    <w:rsid w:val="00CF7D2D"/>
    <w:rsid w:val="00D069D7"/>
    <w:rsid w:val="00D4240B"/>
    <w:rsid w:val="00D8604F"/>
    <w:rsid w:val="00F97BB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D6FFA1"/>
  <w15:chartTrackingRefBased/>
  <w15:docId w15:val="{8FEF8D8E-1414-4F9D-B679-30942227D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D4240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D4240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D4240B"/>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D4240B"/>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D4240B"/>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D4240B"/>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4240B"/>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4240B"/>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4240B"/>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4240B"/>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4240B"/>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4240B"/>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4240B"/>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4240B"/>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4240B"/>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4240B"/>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4240B"/>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4240B"/>
    <w:rPr>
      <w:rFonts w:eastAsiaTheme="majorEastAsia" w:cstheme="majorBidi"/>
      <w:color w:val="272727" w:themeColor="text1" w:themeTint="D8"/>
    </w:rPr>
  </w:style>
  <w:style w:type="paragraph" w:styleId="Titolo">
    <w:name w:val="Title"/>
    <w:basedOn w:val="Normale"/>
    <w:next w:val="Normale"/>
    <w:link w:val="TitoloCarattere"/>
    <w:uiPriority w:val="10"/>
    <w:qFormat/>
    <w:rsid w:val="00D4240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4240B"/>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4240B"/>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4240B"/>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4240B"/>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4240B"/>
    <w:rPr>
      <w:i/>
      <w:iCs/>
      <w:color w:val="404040" w:themeColor="text1" w:themeTint="BF"/>
    </w:rPr>
  </w:style>
  <w:style w:type="paragraph" w:styleId="Paragrafoelenco">
    <w:name w:val="List Paragraph"/>
    <w:basedOn w:val="Normale"/>
    <w:uiPriority w:val="34"/>
    <w:qFormat/>
    <w:rsid w:val="00D4240B"/>
    <w:pPr>
      <w:ind w:left="720"/>
      <w:contextualSpacing/>
    </w:pPr>
  </w:style>
  <w:style w:type="character" w:styleId="Enfasiintensa">
    <w:name w:val="Intense Emphasis"/>
    <w:basedOn w:val="Carpredefinitoparagrafo"/>
    <w:uiPriority w:val="21"/>
    <w:qFormat/>
    <w:rsid w:val="00D4240B"/>
    <w:rPr>
      <w:i/>
      <w:iCs/>
      <w:color w:val="0F4761" w:themeColor="accent1" w:themeShade="BF"/>
    </w:rPr>
  </w:style>
  <w:style w:type="paragraph" w:styleId="Citazioneintensa">
    <w:name w:val="Intense Quote"/>
    <w:basedOn w:val="Normale"/>
    <w:next w:val="Normale"/>
    <w:link w:val="CitazioneintensaCarattere"/>
    <w:uiPriority w:val="30"/>
    <w:qFormat/>
    <w:rsid w:val="00D4240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4240B"/>
    <w:rPr>
      <w:i/>
      <w:iCs/>
      <w:color w:val="0F4761" w:themeColor="accent1" w:themeShade="BF"/>
    </w:rPr>
  </w:style>
  <w:style w:type="character" w:styleId="Riferimentointenso">
    <w:name w:val="Intense Reference"/>
    <w:basedOn w:val="Carpredefinitoparagrafo"/>
    <w:uiPriority w:val="32"/>
    <w:qFormat/>
    <w:rsid w:val="00D4240B"/>
    <w:rPr>
      <w:b/>
      <w:bCs/>
      <w:smallCaps/>
      <w:color w:val="0F4761" w:themeColor="accent1" w:themeShade="BF"/>
      <w:spacing w:val="5"/>
    </w:rPr>
  </w:style>
  <w:style w:type="character" w:styleId="Collegamentoipertestuale">
    <w:name w:val="Hyperlink"/>
    <w:basedOn w:val="Carpredefinitoparagrafo"/>
    <w:uiPriority w:val="99"/>
    <w:unhideWhenUsed/>
    <w:rsid w:val="000C2734"/>
    <w:rPr>
      <w:color w:val="467886" w:themeColor="hyperlink"/>
      <w:u w:val="single"/>
    </w:rPr>
  </w:style>
  <w:style w:type="character" w:styleId="Menzionenonrisolta">
    <w:name w:val="Unresolved Mention"/>
    <w:basedOn w:val="Carpredefinitoparagrafo"/>
    <w:uiPriority w:val="99"/>
    <w:semiHidden/>
    <w:unhideWhenUsed/>
    <w:rsid w:val="000C27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8369457">
      <w:bodyDiv w:val="1"/>
      <w:marLeft w:val="0"/>
      <w:marRight w:val="0"/>
      <w:marTop w:val="0"/>
      <w:marBottom w:val="0"/>
      <w:divBdr>
        <w:top w:val="none" w:sz="0" w:space="0" w:color="auto"/>
        <w:left w:val="none" w:sz="0" w:space="0" w:color="auto"/>
        <w:bottom w:val="none" w:sz="0" w:space="0" w:color="auto"/>
        <w:right w:val="none" w:sz="0" w:space="0" w:color="auto"/>
      </w:divBdr>
      <w:divsChild>
        <w:div w:id="959649162">
          <w:marLeft w:val="0"/>
          <w:marRight w:val="0"/>
          <w:marTop w:val="0"/>
          <w:marBottom w:val="1500"/>
          <w:divBdr>
            <w:top w:val="none" w:sz="0" w:space="0" w:color="auto"/>
            <w:left w:val="none" w:sz="0" w:space="0" w:color="auto"/>
            <w:bottom w:val="none" w:sz="0" w:space="0" w:color="auto"/>
            <w:right w:val="none" w:sz="0" w:space="0" w:color="auto"/>
          </w:divBdr>
          <w:divsChild>
            <w:div w:id="112290398">
              <w:marLeft w:val="-225"/>
              <w:marRight w:val="-225"/>
              <w:marTop w:val="0"/>
              <w:marBottom w:val="0"/>
              <w:divBdr>
                <w:top w:val="none" w:sz="0" w:space="0" w:color="auto"/>
                <w:left w:val="none" w:sz="0" w:space="0" w:color="auto"/>
                <w:bottom w:val="none" w:sz="0" w:space="0" w:color="auto"/>
                <w:right w:val="none" w:sz="0" w:space="0" w:color="auto"/>
              </w:divBdr>
              <w:divsChild>
                <w:div w:id="727413328">
                  <w:marLeft w:val="0"/>
                  <w:marRight w:val="0"/>
                  <w:marTop w:val="0"/>
                  <w:marBottom w:val="0"/>
                  <w:divBdr>
                    <w:top w:val="none" w:sz="0" w:space="0" w:color="auto"/>
                    <w:left w:val="none" w:sz="0" w:space="0" w:color="auto"/>
                    <w:bottom w:val="none" w:sz="0" w:space="0" w:color="auto"/>
                    <w:right w:val="none" w:sz="0" w:space="0" w:color="auto"/>
                  </w:divBdr>
                  <w:divsChild>
                    <w:div w:id="1340308426">
                      <w:marLeft w:val="0"/>
                      <w:marRight w:val="0"/>
                      <w:marTop w:val="0"/>
                      <w:marBottom w:val="0"/>
                      <w:divBdr>
                        <w:top w:val="none" w:sz="0" w:space="0" w:color="auto"/>
                        <w:left w:val="none" w:sz="0" w:space="0" w:color="auto"/>
                        <w:bottom w:val="none" w:sz="0" w:space="0" w:color="auto"/>
                        <w:right w:val="none" w:sz="0" w:space="0" w:color="auto"/>
                      </w:divBdr>
                      <w:divsChild>
                        <w:div w:id="469634885">
                          <w:marLeft w:val="0"/>
                          <w:marRight w:val="0"/>
                          <w:marTop w:val="0"/>
                          <w:marBottom w:val="0"/>
                          <w:divBdr>
                            <w:top w:val="none" w:sz="0" w:space="0" w:color="auto"/>
                            <w:left w:val="none" w:sz="0" w:space="0" w:color="auto"/>
                            <w:bottom w:val="none" w:sz="0" w:space="0" w:color="auto"/>
                            <w:right w:val="none" w:sz="0" w:space="0" w:color="auto"/>
                          </w:divBdr>
                          <w:divsChild>
                            <w:div w:id="714735797">
                              <w:marLeft w:val="0"/>
                              <w:marRight w:val="0"/>
                              <w:marTop w:val="0"/>
                              <w:marBottom w:val="0"/>
                              <w:divBdr>
                                <w:top w:val="none" w:sz="0" w:space="0" w:color="auto"/>
                                <w:left w:val="none" w:sz="0" w:space="0" w:color="auto"/>
                                <w:bottom w:val="none" w:sz="0" w:space="0" w:color="auto"/>
                                <w:right w:val="none" w:sz="0" w:space="0" w:color="auto"/>
                              </w:divBdr>
                              <w:divsChild>
                                <w:div w:id="253828212">
                                  <w:marLeft w:val="0"/>
                                  <w:marRight w:val="0"/>
                                  <w:marTop w:val="0"/>
                                  <w:marBottom w:val="0"/>
                                  <w:divBdr>
                                    <w:top w:val="none" w:sz="0" w:space="0" w:color="auto"/>
                                    <w:left w:val="none" w:sz="0" w:space="0" w:color="auto"/>
                                    <w:bottom w:val="none" w:sz="0" w:space="0" w:color="auto"/>
                                    <w:right w:val="none" w:sz="0" w:space="0" w:color="auto"/>
                                  </w:divBdr>
                                  <w:divsChild>
                                    <w:div w:id="1317808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49765224">
      <w:bodyDiv w:val="1"/>
      <w:marLeft w:val="0"/>
      <w:marRight w:val="0"/>
      <w:marTop w:val="0"/>
      <w:marBottom w:val="0"/>
      <w:divBdr>
        <w:top w:val="none" w:sz="0" w:space="0" w:color="auto"/>
        <w:left w:val="none" w:sz="0" w:space="0" w:color="auto"/>
        <w:bottom w:val="none" w:sz="0" w:space="0" w:color="auto"/>
        <w:right w:val="none" w:sz="0" w:space="0" w:color="auto"/>
      </w:divBdr>
      <w:divsChild>
        <w:div w:id="62720547">
          <w:marLeft w:val="0"/>
          <w:marRight w:val="0"/>
          <w:marTop w:val="0"/>
          <w:marBottom w:val="1500"/>
          <w:divBdr>
            <w:top w:val="none" w:sz="0" w:space="0" w:color="auto"/>
            <w:left w:val="none" w:sz="0" w:space="0" w:color="auto"/>
            <w:bottom w:val="none" w:sz="0" w:space="0" w:color="auto"/>
            <w:right w:val="none" w:sz="0" w:space="0" w:color="auto"/>
          </w:divBdr>
          <w:divsChild>
            <w:div w:id="1153334471">
              <w:marLeft w:val="-225"/>
              <w:marRight w:val="-225"/>
              <w:marTop w:val="0"/>
              <w:marBottom w:val="0"/>
              <w:divBdr>
                <w:top w:val="none" w:sz="0" w:space="0" w:color="auto"/>
                <w:left w:val="none" w:sz="0" w:space="0" w:color="auto"/>
                <w:bottom w:val="none" w:sz="0" w:space="0" w:color="auto"/>
                <w:right w:val="none" w:sz="0" w:space="0" w:color="auto"/>
              </w:divBdr>
              <w:divsChild>
                <w:div w:id="1906795685">
                  <w:marLeft w:val="0"/>
                  <w:marRight w:val="0"/>
                  <w:marTop w:val="0"/>
                  <w:marBottom w:val="0"/>
                  <w:divBdr>
                    <w:top w:val="none" w:sz="0" w:space="0" w:color="auto"/>
                    <w:left w:val="none" w:sz="0" w:space="0" w:color="auto"/>
                    <w:bottom w:val="none" w:sz="0" w:space="0" w:color="auto"/>
                    <w:right w:val="none" w:sz="0" w:space="0" w:color="auto"/>
                  </w:divBdr>
                  <w:divsChild>
                    <w:div w:id="416169434">
                      <w:marLeft w:val="0"/>
                      <w:marRight w:val="0"/>
                      <w:marTop w:val="0"/>
                      <w:marBottom w:val="0"/>
                      <w:divBdr>
                        <w:top w:val="none" w:sz="0" w:space="0" w:color="auto"/>
                        <w:left w:val="none" w:sz="0" w:space="0" w:color="auto"/>
                        <w:bottom w:val="none" w:sz="0" w:space="0" w:color="auto"/>
                        <w:right w:val="none" w:sz="0" w:space="0" w:color="auto"/>
                      </w:divBdr>
                      <w:divsChild>
                        <w:div w:id="137384242">
                          <w:marLeft w:val="0"/>
                          <w:marRight w:val="0"/>
                          <w:marTop w:val="0"/>
                          <w:marBottom w:val="0"/>
                          <w:divBdr>
                            <w:top w:val="none" w:sz="0" w:space="0" w:color="auto"/>
                            <w:left w:val="none" w:sz="0" w:space="0" w:color="auto"/>
                            <w:bottom w:val="none" w:sz="0" w:space="0" w:color="auto"/>
                            <w:right w:val="none" w:sz="0" w:space="0" w:color="auto"/>
                          </w:divBdr>
                          <w:divsChild>
                            <w:div w:id="1434131668">
                              <w:marLeft w:val="0"/>
                              <w:marRight w:val="0"/>
                              <w:marTop w:val="0"/>
                              <w:marBottom w:val="0"/>
                              <w:divBdr>
                                <w:top w:val="none" w:sz="0" w:space="0" w:color="auto"/>
                                <w:left w:val="none" w:sz="0" w:space="0" w:color="auto"/>
                                <w:bottom w:val="none" w:sz="0" w:space="0" w:color="auto"/>
                                <w:right w:val="none" w:sz="0" w:space="0" w:color="auto"/>
                              </w:divBdr>
                              <w:divsChild>
                                <w:div w:id="2120102130">
                                  <w:marLeft w:val="0"/>
                                  <w:marRight w:val="0"/>
                                  <w:marTop w:val="0"/>
                                  <w:marBottom w:val="0"/>
                                  <w:divBdr>
                                    <w:top w:val="none" w:sz="0" w:space="0" w:color="auto"/>
                                    <w:left w:val="none" w:sz="0" w:space="0" w:color="auto"/>
                                    <w:bottom w:val="none" w:sz="0" w:space="0" w:color="auto"/>
                                    <w:right w:val="none" w:sz="0" w:space="0" w:color="auto"/>
                                  </w:divBdr>
                                  <w:divsChild>
                                    <w:div w:id="1990746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iurcost.org/decisioni/2004/0012s-04.html" TargetMode="External"/><Relationship Id="rId5" Type="http://schemas.openxmlformats.org/officeDocument/2006/relationships/hyperlink" Target="https://giurcost.org/decisioni/2004/0282s-04.html" TargetMode="External"/><Relationship Id="rId4" Type="http://schemas.openxmlformats.org/officeDocument/2006/relationships/hyperlink" Target="https://giurcost.org/decisioni/2004/0012s-04.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TotalTime>
  <Pages>1</Pages>
  <Words>1427</Words>
  <Characters>8140</Characters>
  <Application>Microsoft Office Word</Application>
  <DocSecurity>0</DocSecurity>
  <Lines>67</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6</cp:revision>
  <dcterms:created xsi:type="dcterms:W3CDTF">2025-10-09T16:58:00Z</dcterms:created>
  <dcterms:modified xsi:type="dcterms:W3CDTF">2025-10-16T07:54:00Z</dcterms:modified>
</cp:coreProperties>
</file>