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06B3C" w14:textId="77777777" w:rsidR="00A83472" w:rsidRPr="00A83472" w:rsidRDefault="00A83472" w:rsidP="00682966">
      <w:pPr>
        <w:jc w:val="both"/>
      </w:pPr>
      <w:r w:rsidRPr="00A83472">
        <w:t>SENTENZA N. 148</w:t>
      </w:r>
    </w:p>
    <w:p w14:paraId="0A306B3D" w14:textId="77777777" w:rsidR="00A83472" w:rsidRPr="00A83472" w:rsidRDefault="00A83472" w:rsidP="00682966">
      <w:pPr>
        <w:jc w:val="both"/>
      </w:pPr>
      <w:r w:rsidRPr="00A83472">
        <w:t>ANNO 2025</w:t>
      </w:r>
    </w:p>
    <w:p w14:paraId="0A306B3E" w14:textId="77777777" w:rsidR="00A83472" w:rsidRPr="00A83472" w:rsidRDefault="00A83472" w:rsidP="00682966">
      <w:pPr>
        <w:jc w:val="both"/>
      </w:pPr>
      <w:r w:rsidRPr="00A83472">
        <w:br/>
        <w:t>REPUBBLICA ITALIANA</w:t>
      </w:r>
    </w:p>
    <w:p w14:paraId="0A306B3F" w14:textId="77777777" w:rsidR="00A83472" w:rsidRPr="00A83472" w:rsidRDefault="00A83472" w:rsidP="00682966">
      <w:pPr>
        <w:jc w:val="both"/>
      </w:pPr>
      <w:r w:rsidRPr="00A83472">
        <w:t>IN NOME DEL POPOLO ITALIANO</w:t>
      </w:r>
    </w:p>
    <w:p w14:paraId="0A306B40" w14:textId="77777777" w:rsidR="00A83472" w:rsidRPr="00A83472" w:rsidRDefault="00A83472" w:rsidP="00682966">
      <w:pPr>
        <w:jc w:val="both"/>
      </w:pPr>
      <w:r w:rsidRPr="00A83472">
        <w:t>LA CORTE COSTITUZIONALE</w:t>
      </w:r>
    </w:p>
    <w:p w14:paraId="0A306B41" w14:textId="77777777" w:rsidR="00A83472" w:rsidRPr="00A83472" w:rsidRDefault="00A83472" w:rsidP="00682966">
      <w:pPr>
        <w:jc w:val="both"/>
      </w:pPr>
      <w:r w:rsidRPr="00A83472">
        <w:t>composta da:</w:t>
      </w:r>
    </w:p>
    <w:p w14:paraId="0A306B42" w14:textId="77777777" w:rsidR="00A83472" w:rsidRPr="00A83472" w:rsidRDefault="00A83472" w:rsidP="00682966">
      <w:pPr>
        <w:jc w:val="both"/>
      </w:pPr>
      <w:r w:rsidRPr="00A83472">
        <w:t>Presidente: Giovanni AMOROSO;</w:t>
      </w:r>
    </w:p>
    <w:p w14:paraId="0A306B43" w14:textId="77777777" w:rsidR="00A83472" w:rsidRPr="00A83472" w:rsidRDefault="00A83472" w:rsidP="00682966">
      <w:pPr>
        <w:jc w:val="both"/>
      </w:pPr>
      <w:r w:rsidRPr="00A83472">
        <w:t>Giudici: Francesco VIGANÒ, Luca ANTONINI, Stefano PETITTI, Angelo BUSCEMA, Emanuela NAVARRETTA, Maria Rosaria SAN GIORGIO, Marco D’ALBERTI, Giovanni PITRUZZELLA, Antonella SCIARRONE ALIBRANDI, Maria Alessandra SANDULLI, Roberto Nicola CASSINELLI, Francesco Saverio MARINI,</w:t>
      </w:r>
    </w:p>
    <w:p w14:paraId="0A306B44" w14:textId="77777777" w:rsidR="00A83472" w:rsidRPr="00A83472" w:rsidRDefault="00A83472" w:rsidP="00682966">
      <w:pPr>
        <w:jc w:val="both"/>
      </w:pPr>
      <w:r w:rsidRPr="00A83472">
        <w:t>ha pronunciato la seguente</w:t>
      </w:r>
    </w:p>
    <w:p w14:paraId="0A306B45" w14:textId="77777777" w:rsidR="00A83472" w:rsidRPr="00A83472" w:rsidRDefault="00A83472" w:rsidP="00682966">
      <w:pPr>
        <w:jc w:val="both"/>
      </w:pPr>
      <w:r w:rsidRPr="00A83472">
        <w:t>SENTENZA</w:t>
      </w:r>
    </w:p>
    <w:p w14:paraId="631EA015" w14:textId="49DCBEDF" w:rsidR="00D056BC" w:rsidRDefault="00D056BC" w:rsidP="00682966">
      <w:pPr>
        <w:jc w:val="both"/>
        <w:rPr>
          <w:i/>
          <w:iCs/>
        </w:rPr>
      </w:pPr>
      <w:r>
        <w:rPr>
          <w:i/>
          <w:iCs/>
        </w:rPr>
        <w:t>[…]</w:t>
      </w:r>
    </w:p>
    <w:p w14:paraId="0A306BA2" w14:textId="6D6BFEE6" w:rsidR="00A83472" w:rsidRPr="00A83472" w:rsidRDefault="00A83472" w:rsidP="00682966">
      <w:pPr>
        <w:jc w:val="both"/>
      </w:pPr>
      <w:r w:rsidRPr="00A83472">
        <w:rPr>
          <w:i/>
          <w:iCs/>
        </w:rPr>
        <w:t>Considerato in diritto</w:t>
      </w:r>
    </w:p>
    <w:p w14:paraId="0A306BA3" w14:textId="77777777" w:rsidR="00A83472" w:rsidRPr="00A83472" w:rsidRDefault="00A83472" w:rsidP="00682966">
      <w:pPr>
        <w:jc w:val="both"/>
      </w:pPr>
      <w:r w:rsidRPr="00A83472">
        <w:t xml:space="preserve">1.– La Regione autonoma della Sardegna (reg. </w:t>
      </w:r>
      <w:proofErr w:type="spellStart"/>
      <w:r w:rsidRPr="00A83472">
        <w:t>confl</w:t>
      </w:r>
      <w:proofErr w:type="spellEnd"/>
      <w:r w:rsidRPr="00A83472">
        <w:t>. enti n. 2 del 2025) ha proposto conflitto di attribuzione nei confronti dello Stato (e, per esso, della Presidenza del Consiglio dei ministri), del Collegio regionale di garanzia elettorale presso la Corte d’appello di Cagliari e del Ministero della giustizia, in persona del Ministro pro tempore, in relazione all’ordinanza-ingiunzione, emessa in data 20 dicembre 2024 dal medesimo Collegio, chiedendo che questa Corte dichiari che non spettava allo Stato e, per esso, al menzionato Collegio, «imporre "la decadenza dalla carica del candidato eletto” a Presidente della Regione, e disporre con "ordinanza/ingiunzione al Presidente del Consiglio Regionale … l’adozione del provvedimento di decadenza di Todde Alessandra dalla carica di Presidente della Regione Sardegna”», e che, per l’effetto, annulli in parte qua la menzionata ordinanza-ingiunzione.</w:t>
      </w:r>
    </w:p>
    <w:p w14:paraId="0A306BA4" w14:textId="77777777" w:rsidR="00A83472" w:rsidRPr="00A83472" w:rsidRDefault="00A83472" w:rsidP="00682966">
      <w:pPr>
        <w:jc w:val="both"/>
      </w:pPr>
      <w:r w:rsidRPr="00A83472">
        <w:t xml:space="preserve">1.1.– La ricorrente lamenta «profili di menomazione» delle proprie attribuzioni, come derivanti dagli artt. 15, 35 e 50 dello statuto speciale di autonomia, dagli artt. 97 e 122 Cost. e dagli artt. 1 e 22 della legge </w:t>
      </w:r>
      <w:proofErr w:type="spellStart"/>
      <w:r w:rsidRPr="00A83472">
        <w:t>statut</w:t>
      </w:r>
      <w:proofErr w:type="spellEnd"/>
      <w:r w:rsidRPr="00A83472">
        <w:t xml:space="preserve">. n. 1 del 2013. L’imposizione della decadenza del Presidente eletto, infatti, implicherebbe altresì, in base agli artt. 35 e 50 dello statuto speciale, «la dissoluzione anticipata del Consiglio regionale in virtù del dispositivo aut </w:t>
      </w:r>
      <w:proofErr w:type="spellStart"/>
      <w:r w:rsidRPr="00A83472">
        <w:t>simul</w:t>
      </w:r>
      <w:proofErr w:type="spellEnd"/>
      <w:r w:rsidRPr="00A83472">
        <w:t xml:space="preserve"> </w:t>
      </w:r>
      <w:proofErr w:type="spellStart"/>
      <w:r w:rsidRPr="00A83472">
        <w:t>stabunt</w:t>
      </w:r>
      <w:proofErr w:type="spellEnd"/>
      <w:r w:rsidRPr="00A83472">
        <w:t xml:space="preserve"> aut </w:t>
      </w:r>
      <w:proofErr w:type="spellStart"/>
      <w:r w:rsidRPr="00A83472">
        <w:t>simul</w:t>
      </w:r>
      <w:proofErr w:type="spellEnd"/>
      <w:r w:rsidRPr="00A83472">
        <w:t xml:space="preserve"> </w:t>
      </w:r>
      <w:proofErr w:type="spellStart"/>
      <w:r w:rsidRPr="00A83472">
        <w:t>cadent</w:t>
      </w:r>
      <w:proofErr w:type="spellEnd"/>
      <w:r w:rsidRPr="00A83472">
        <w:t>, con conseguente indizione di nuove elezioni presidenziale e consiliare e con effetti, perciò, irreversibili sulla permanenza in carica di tutti gli altri consiglieri regionali, oltre che del Presidente e della Giunta regionale». Da ciò sarebbe apprezzabile, assieme al «tono costituzionale» del presente conflitto, lo sviamento dei poteri attribuiti al Collegio regionale di garanzia elettorale, derivante da plurime violazioni di legge, le quali vengono articolate in tre diversi motivi di censura.</w:t>
      </w:r>
    </w:p>
    <w:p w14:paraId="2CC9D6B9" w14:textId="27F6D01C" w:rsidR="008D5190" w:rsidRDefault="008D5190" w:rsidP="00682966">
      <w:pPr>
        <w:jc w:val="both"/>
      </w:pPr>
      <w:r>
        <w:t>[…]</w:t>
      </w:r>
    </w:p>
    <w:p w14:paraId="0A306BA6" w14:textId="47B95A4B" w:rsidR="00A83472" w:rsidRPr="00A83472" w:rsidRDefault="00A83472" w:rsidP="00682966">
      <w:pPr>
        <w:jc w:val="both"/>
      </w:pPr>
      <w:r w:rsidRPr="00A83472">
        <w:lastRenderedPageBreak/>
        <w:t>Sotto altro profilo, il ricorso lamenta la mancanza dei presupposti per la dichiarazione di decadenza. Nessuna delle contestazioni rivolte al candidato eletto, invero, ricadrebbe nelle fattispecie indicate dai commi 8 e 9 dell’art. 15 della legge n. 515 del 1993, uniche disposizioni che prevedono ipotesi di decadenza. Si fa notare che, anzi, in un passaggio della motivazione, l’ordinanza ha affermato che «non è stato affatto contestato alla Todde il mancato deposito della dichiarazione di spesa e rendiconto» (fattispecie che è delineata, come causa di decadenza, dal comma 8 dell’art. 15), ma solo «l’anomalia derivante dalla non conformità della dichiarazione di spesa e rendiconto da lei stessa presentata».</w:t>
      </w:r>
    </w:p>
    <w:p w14:paraId="0A306BA7" w14:textId="77777777" w:rsidR="00A83472" w:rsidRPr="00A83472" w:rsidRDefault="00A83472" w:rsidP="00682966">
      <w:pPr>
        <w:jc w:val="both"/>
      </w:pPr>
      <w:r w:rsidRPr="00A83472">
        <w:t xml:space="preserve">Infine, il ricorso censura l’erroneità del presupposto interpretativo in cui sarebbe incorso l’organo collegiale. Il provvedimento impugnato ha fatto applicazione della disciplina sui limiti e sulla pubblicità delle spese elettorali dei candidati, con le relative previsioni decadenziali, di cui, rispettivamente, agli artt. 7 e 15 della legge n. 515 del 1993, come richiamati, quanto alle elezioni regionali, dagli artt. 3, comma 1, e 5, comma 3, della legge reg. Sardegna n. 1 del 1994. Tuttavia, le richiamate disposizioni regionali, che si riferiscono alle sole elezioni dei consiglieri regionali, </w:t>
      </w:r>
      <w:r w:rsidRPr="00DD5896">
        <w:rPr>
          <w:u w:val="single"/>
        </w:rPr>
        <w:t>non sarebbero applicabili alla fattispecie per cui è causa, riguardante la diversa elezione del Presidente della Regione</w:t>
      </w:r>
      <w:r w:rsidRPr="00A83472">
        <w:t>, il quale non è un consigliere regionale elettivo, ma viene eletto in seno ad altro organo della Regione (il Presidente, per l’appunto) e solo in tale veste entra a far parte del Consiglio regionale.</w:t>
      </w:r>
    </w:p>
    <w:p w14:paraId="0A306BA8" w14:textId="77777777" w:rsidR="00A83472" w:rsidRPr="00A83472" w:rsidRDefault="00A83472" w:rsidP="00682966">
      <w:pPr>
        <w:jc w:val="both"/>
      </w:pPr>
      <w:r w:rsidRPr="00A83472">
        <w:t xml:space="preserve">La non applicabilità delle previsioni della citata legge reg. Sardegna n. 1 del 1994 troverebbe conferma nell’espressa previsione dell’art. 22, comma 2, della legge </w:t>
      </w:r>
      <w:proofErr w:type="spellStart"/>
      <w:r w:rsidRPr="00A83472">
        <w:t>statut</w:t>
      </w:r>
      <w:proofErr w:type="spellEnd"/>
      <w:r w:rsidRPr="00A83472">
        <w:t>. n. 1 del 2013, che, per la disciplina della materia delle ineleggibilità e incompatibilità, rinvia alle «leggi statali». Tale richiamo normativo non consentirebbe di ritenere applicabile né, in radice, la legge regionale del 1994 né, in seconda battuta, gli stessi artt. 7 e 15 della legge n. 515 del 1993, atteso che quest’ultima ha espressamente indicato quali delle proprie disposizioni sono applicabili anche alle elezioni regionali (art. 20), non includendovi quelle appena menzionate.</w:t>
      </w:r>
    </w:p>
    <w:p w14:paraId="0A306BA9" w14:textId="77777777" w:rsidR="00A83472" w:rsidRPr="00A83472" w:rsidRDefault="00A83472" w:rsidP="00682966">
      <w:pPr>
        <w:jc w:val="both"/>
      </w:pPr>
      <w:r w:rsidRPr="00A83472">
        <w:t xml:space="preserve">1.2.– Per l’ipotesi in cui si dovesse considerare applicabile alla presente fattispecie l’art. 15, comma 7, della legge n. 515 del 1993, come ha fatto il Collegio regionale di garanzia elettorale, e si dovesse interpretare tale disposizione come recante un’autonoma fattispecie di decadenza, che si aggiunge a quelle indicate dai commi 8 e 9 del medesimo art. 15, la Regione ricorrente </w:t>
      </w:r>
      <w:r w:rsidRPr="007F7A81">
        <w:rPr>
          <w:u w:val="single"/>
        </w:rPr>
        <w:t>ha prospettato in via subordinata una questione di legittimità costituzionale</w:t>
      </w:r>
      <w:r w:rsidRPr="00A83472">
        <w:t xml:space="preserve"> avente ad oggetto il medesimo comma 7, chiedendo a questa Corte di </w:t>
      </w:r>
      <w:proofErr w:type="spellStart"/>
      <w:r w:rsidRPr="00A83472">
        <w:t>autorimetterla</w:t>
      </w:r>
      <w:proofErr w:type="spellEnd"/>
      <w:r w:rsidRPr="00A83472">
        <w:t xml:space="preserve"> al proprio vaglio. Tale questione avrebbe «certamente» rilevanza ai fini del decidere, in quanto, se la norma in questione fosse dichiarata costituzionalmente illegittima, «risulterebbe acclarato che non spettava allo Stato […] dichiarare la decadenza della Ing. Todde».</w:t>
      </w:r>
    </w:p>
    <w:p w14:paraId="0A306BAA" w14:textId="77777777" w:rsidR="00A83472" w:rsidRPr="00A83472" w:rsidRDefault="00A83472" w:rsidP="00682966">
      <w:pPr>
        <w:jc w:val="both"/>
      </w:pPr>
      <w:r w:rsidRPr="00A83472">
        <w:t>I riscontrati profili di illegittimità costituzionale deriverebbero dalla violazione del principio di ragionevolezza, ex art. 3, primo comma, Cost., del principio di legalità, ex artt. 25 e 97 Cost., del diritto di difesa, ex art. 24 Cost., e del diritto di elettorato passivo («artt. 48 e 2 Cost.»), nonché dalla lesione dell’art. 117, primo comma, Cost., in relazione all’art. 6 CEDU e all’art. 47 CDFUE. Ciò, anzitutto, per indeterminatezza della fattispecie sanzionatoria, in quanto la norma, con il generico richiamo alle violazioni della disciplina sulla campagna elettorale, «non consente al destinatario del precetto di avere reale cognizione di quale sia la condotta esigibile per non cadere nell’ipotesi sanzionata». In secondo luogo, quella in esame non potrebbe essere ricondotta al catalogo delle cause di ineleggibilità (pur se così definita dalla disposizione censurata), perché si riferisce a una condizione personale non preesistente all’elezione e nemmeno tale da condizionare la libera manifestazione del consenso degli elettori.</w:t>
      </w:r>
    </w:p>
    <w:p w14:paraId="0A306BAB" w14:textId="5D66A288" w:rsidR="00A83472" w:rsidRPr="00A83472" w:rsidRDefault="00A83472" w:rsidP="00682966">
      <w:pPr>
        <w:jc w:val="both"/>
      </w:pPr>
      <w:r w:rsidRPr="00A83472">
        <w:t xml:space="preserve">1.3.– In via ulteriormente subordinata, la Regione ricorrente deduce l’illegittimità costituzionale dell’art. 15, comma 7, della legge n. 515 del 1993 nella parte in cui stabilisce che l’accertata violazione delle norme sulla </w:t>
      </w:r>
      <w:r w:rsidRPr="00A83472">
        <w:lastRenderedPageBreak/>
        <w:t xml:space="preserve">campagna elettorale «costituisce causa di ineleggibilità», anziché «costituisce causa di ineleggibilità sopravvenuta», e nella parte in cui prevede che tale accertamento «comporta la decadenza dalla carica del candidato eletto nei casi espressamente previsti nel presente articolo con delibera della Camera di appartenenza», anziché «comporta la decadenza dalla carica del candidato eletto </w:t>
      </w:r>
      <w:r w:rsidRPr="000334DA">
        <w:rPr>
          <w:u w:val="single"/>
        </w:rPr>
        <w:t>nei casi espressamente previsti nel presente articolo ove non rimossa nel ragionevole termine assegnato a seguito di contestazione effettuata con delibera della Camera di appartenenza</w:t>
      </w:r>
      <w:r w:rsidRPr="00A83472">
        <w:t>».</w:t>
      </w:r>
      <w:r w:rsidR="000334DA">
        <w:t xml:space="preserve"> </w:t>
      </w:r>
    </w:p>
    <w:p w14:paraId="0A306BAC" w14:textId="77777777" w:rsidR="00A83472" w:rsidRPr="00A83472" w:rsidRDefault="00A83472" w:rsidP="00682966">
      <w:pPr>
        <w:jc w:val="both"/>
      </w:pPr>
      <w:r w:rsidRPr="00A83472">
        <w:t>Il denunziato vulnus costituzionale discenderebbe, in questo caso, dalla violazione dei principi di uguaglianza e di ragionevolezza, di cui all’art. 3, primo comma, Cost., del principio di legalità («ex artt. 25 e 97 Cost.»), nonché dalla violazione degli artt. 2 e 48 Cost. e, quale «fonte interposta contenente principi generali ex art. 122, primo comma, Cost.», dalla lesione dell’art. 2, comma 1, lettera c), della legge n. 165 del 2004.</w:t>
      </w:r>
    </w:p>
    <w:p w14:paraId="0A306BAD" w14:textId="77777777" w:rsidR="00A83472" w:rsidRPr="00A83472" w:rsidRDefault="00A83472" w:rsidP="00682966">
      <w:pPr>
        <w:jc w:val="both"/>
      </w:pPr>
      <w:r w:rsidRPr="00A83472">
        <w:t>A giudizio della Regione, quella in esame configurerebbe una causa di ineleggibilità «sopravvenuta» e, come tale, andrebbe collocata nel novero delle cause di incompatibilità, delle quali dovrebbe mutuare il regime giuridico.</w:t>
      </w:r>
    </w:p>
    <w:p w14:paraId="11B80FE2" w14:textId="1A6E5D5F" w:rsidR="00653601" w:rsidRDefault="00653601" w:rsidP="00682966">
      <w:pPr>
        <w:jc w:val="both"/>
      </w:pPr>
      <w:r>
        <w:t>[…]</w:t>
      </w:r>
    </w:p>
    <w:p w14:paraId="0A306BD9" w14:textId="77777777" w:rsidR="00A83472" w:rsidRPr="00A83472" w:rsidRDefault="00A83472" w:rsidP="00682966">
      <w:pPr>
        <w:jc w:val="both"/>
      </w:pPr>
      <w:r w:rsidRPr="00A83472">
        <w:t>6.– Nel merito, il ricorso è fondato nei termini che seguono.</w:t>
      </w:r>
    </w:p>
    <w:p w14:paraId="0A306BDA" w14:textId="77777777" w:rsidR="00A83472" w:rsidRPr="00A83472" w:rsidRDefault="00A83472" w:rsidP="00682966">
      <w:pPr>
        <w:jc w:val="both"/>
      </w:pPr>
      <w:r w:rsidRPr="00A83472">
        <w:t>6.1.– Occorre prendere le mosse, in quanto questione logicamente preliminare, dalla normativa applicabile alla Regione autonoma della Sardegna in materia di pubblicità e controlli sulle spese elettorali riferite alle consultazioni regionali.</w:t>
      </w:r>
    </w:p>
    <w:p w14:paraId="0A306BDB" w14:textId="77777777" w:rsidR="00A83472" w:rsidRPr="00A83472" w:rsidRDefault="00A83472" w:rsidP="00682966">
      <w:pPr>
        <w:jc w:val="both"/>
      </w:pPr>
      <w:r w:rsidRPr="002618D6">
        <w:rPr>
          <w:b/>
          <w:bCs/>
        </w:rPr>
        <w:t xml:space="preserve">Sul punto, la Regione ricorrente – mediante il terzo motivo di censura – ha sostenuto che l’impugnata ordinanza-ingiunzione sarebbe incorsa in un erroneo presupposto interpretativo, laddove ha ritenuto applicabile la legge reg. Sardegna n. 1 del 1994. Quest’ultima, infatti, detta la disciplina per le sole elezioni dei consiglieri regionali e non anche per quella del Presidente della Regione (che configurava, all’epoca, un organo non elettivo). A giudizio della ricorrente, la non applicabilità della legge reg. Sardegna n. 1 del 1994 sarebbe confermata anche dall’espresso disposto dell’art. 22, comma 2, della legge </w:t>
      </w:r>
      <w:proofErr w:type="spellStart"/>
      <w:r w:rsidRPr="002618D6">
        <w:rPr>
          <w:b/>
          <w:bCs/>
        </w:rPr>
        <w:t>statut</w:t>
      </w:r>
      <w:proofErr w:type="spellEnd"/>
      <w:r w:rsidRPr="002618D6">
        <w:rPr>
          <w:b/>
          <w:bCs/>
        </w:rPr>
        <w:t xml:space="preserve">. n. 1 del 2013, che, per la disciplina delle ineleggibilità e incompatibilità, rinvia alle «leggi statali»: verrebbe, in tal modo, esclusa non solo (e direttamente) la legge regionale del 1994 </w:t>
      </w:r>
      <w:r w:rsidRPr="002618D6">
        <w:rPr>
          <w:b/>
          <w:bCs/>
          <w:u w:val="single"/>
        </w:rPr>
        <w:t>ma anche (indirettamente) la stessa legge n. 515 del 1993</w:t>
      </w:r>
      <w:r w:rsidRPr="002618D6">
        <w:rPr>
          <w:b/>
          <w:bCs/>
        </w:rPr>
        <w:t xml:space="preserve">. Dovendosi infatti ritenere che quest’ultima, in quanto legge statale, sia stata richiamata dal legislatore sardo per la disciplina delle ineleggibilità e incompatibilità, l’effettivo ambito applicativo discenderebbe pur sempre dalle sue stesse previsioni le quali, all’art. 20, escludono che, per le elezioni regionali, </w:t>
      </w:r>
      <w:r w:rsidRPr="00ED40BF">
        <w:rPr>
          <w:b/>
          <w:bCs/>
          <w:u w:val="single"/>
        </w:rPr>
        <w:t>valgano gli artt. 7 e 15, dedicati, rispettivamente, alla disciplina sostanziale sulle spese elettorali e al conseguente regime sanzionatorio</w:t>
      </w:r>
      <w:r w:rsidRPr="002618D6">
        <w:rPr>
          <w:b/>
          <w:bCs/>
        </w:rPr>
        <w:t>. Di conseguenza, l’impugnata ordinanza-ingiunzione, che ha fatto applicazione proprio di queste due disposizioni, si svelerebbe comunque priva di base legale</w:t>
      </w:r>
      <w:r w:rsidRPr="00A83472">
        <w:t>.</w:t>
      </w:r>
    </w:p>
    <w:p w14:paraId="0A306BDC" w14:textId="77777777" w:rsidR="00A83472" w:rsidRPr="00CA3F0C" w:rsidRDefault="00A83472" w:rsidP="00682966">
      <w:pPr>
        <w:jc w:val="both"/>
        <w:rPr>
          <w:b/>
          <w:bCs/>
        </w:rPr>
      </w:pPr>
      <w:r w:rsidRPr="00CA3F0C">
        <w:rPr>
          <w:b/>
          <w:bCs/>
        </w:rPr>
        <w:t xml:space="preserve">6.2.– Il ragionamento della ricorrente è solo in parte condivisibile, dovendosi affermare, per le ragioni che seguono, che il parametro normativo cui fare riferimento, per stabilire se ed entro quali limiti la legge n. 515 del 1993 sia applicabile anche alle elezioni regionali della Sardegna, è esclusivamente l’art. 22 della legge </w:t>
      </w:r>
      <w:proofErr w:type="spellStart"/>
      <w:r w:rsidRPr="00CA3F0C">
        <w:rPr>
          <w:b/>
          <w:bCs/>
        </w:rPr>
        <w:t>statut</w:t>
      </w:r>
      <w:proofErr w:type="spellEnd"/>
      <w:r w:rsidRPr="00CA3F0C">
        <w:rPr>
          <w:b/>
          <w:bCs/>
        </w:rPr>
        <w:t>. n. 1 del 2013.</w:t>
      </w:r>
    </w:p>
    <w:p w14:paraId="0A306BDD" w14:textId="77777777" w:rsidR="00A83472" w:rsidRPr="00CA3F0C" w:rsidRDefault="00A83472" w:rsidP="00682966">
      <w:pPr>
        <w:jc w:val="both"/>
        <w:rPr>
          <w:b/>
          <w:bCs/>
        </w:rPr>
      </w:pPr>
      <w:r w:rsidRPr="00CA3F0C">
        <w:rPr>
          <w:b/>
          <w:bCs/>
        </w:rPr>
        <w:t xml:space="preserve">6.2.1.– A norma dell’art. 15, secondo comma, dello statuto di autonomia, come aggiunto dalla legge cost. n. 2 del 2001, una legge regionale della Sardegna, approvata dal Consiglio regionale con la maggioranza assoluta dei propri componenti, è chiamata, in armonia con la Costituzione e con i princìpi </w:t>
      </w:r>
      <w:r w:rsidRPr="00CA3F0C">
        <w:rPr>
          <w:b/>
          <w:bCs/>
        </w:rPr>
        <w:lastRenderedPageBreak/>
        <w:t>dell’ordinamento giuridico della Repubblica, a determinare la forma di governo della Regione e, specificatamente, per quanto in questa sede interessa, i casi di ineleggibilità e di incompatibilità del Presidente della Regione.</w:t>
      </w:r>
    </w:p>
    <w:p w14:paraId="0A306BDE" w14:textId="77777777" w:rsidR="00A83472" w:rsidRPr="00CA3F0C" w:rsidRDefault="00A83472" w:rsidP="00682966">
      <w:pPr>
        <w:jc w:val="both"/>
        <w:rPr>
          <w:b/>
          <w:bCs/>
        </w:rPr>
      </w:pPr>
      <w:r w:rsidRPr="00CA3F0C">
        <w:rPr>
          <w:b/>
          <w:bCs/>
        </w:rPr>
        <w:t>Il vincolo della necessaria armonia con la Costituzione orienta la disciplina regionale verso le previsioni dettate dall’art. 122, primo comma, Cost. – come sostituito dall’art. 2, comma 1, della legge costituzionale 22 novembre 1999, n. 1 (Disposizioni concernenti l’elezione diretta del Presidente della Giunta regionale e l’autonomia statutaria delle Regioni) – secondo cui i casi di ineleggibilità e di incompatibilità del Presidente e degli altri componenti della Giunta regionale, nonché dei consiglieri regionali, «sono disciplinati con legge della Regione nei limiti dei princìpi fondamentali stabiliti con legge della Repubblica».</w:t>
      </w:r>
    </w:p>
    <w:p w14:paraId="0A306BDF" w14:textId="77777777" w:rsidR="00A83472" w:rsidRPr="00CA3F0C" w:rsidRDefault="00A83472" w:rsidP="00682966">
      <w:pPr>
        <w:jc w:val="both"/>
        <w:rPr>
          <w:b/>
          <w:bCs/>
        </w:rPr>
      </w:pPr>
      <w:r w:rsidRPr="00CA3F0C">
        <w:rPr>
          <w:b/>
          <w:bCs/>
        </w:rPr>
        <w:t>La legge della Repubblica è successivamente intervenuta e ha fissato i principi fondamentali. Si tratta di quelli espressi dall’art. 2 della legge n. 165 del 2004, tra i quali, per quanto in questa sede più interessa, vi è quello della lettera d), così formulato: «attribuzione ai Consigli regionali della competenza a decidere sulle cause di ineleggibilità dei propri componenti e del Presidente della Giunta eletto a suffragio universale e diretto, fatta salva la competenza dell’autorità giudiziaria a decidere sui relativi ricorsi. L’esercizio delle rispettive funzioni è comunque garantito fino alla pronuncia definitiva sugli stessi ricorsi».</w:t>
      </w:r>
    </w:p>
    <w:p w14:paraId="0A306BE0" w14:textId="77777777" w:rsidR="00A83472" w:rsidRPr="001C084A" w:rsidRDefault="00A83472" w:rsidP="00682966">
      <w:pPr>
        <w:jc w:val="both"/>
        <w:rPr>
          <w:b/>
          <w:bCs/>
        </w:rPr>
      </w:pPr>
      <w:r w:rsidRPr="001C084A">
        <w:rPr>
          <w:b/>
          <w:bCs/>
        </w:rPr>
        <w:t>6.2.2.– L’appena ricordato principio fondamentale vincola la competenza legislativa delle regioni a statuto ordinario (</w:t>
      </w:r>
      <w:hyperlink r:id="rId4" w:history="1">
        <w:r w:rsidRPr="001C084A">
          <w:rPr>
            <w:rStyle w:val="Collegamentoipertestuale"/>
            <w:b/>
            <w:bCs/>
          </w:rPr>
          <w:t>sentenza n. 64 del 2025</w:t>
        </w:r>
      </w:hyperlink>
      <w:r w:rsidRPr="001C084A">
        <w:rPr>
          <w:b/>
          <w:bCs/>
        </w:rPr>
        <w:t>) e, in quanto espressivo al contempo di un principio generale dell’ordinamento, non è privo di valenza per la Regione autonoma della Sardegna, chiamata, come già visto, ad esercitare la propria competenza primaria nella materia de qua (pertanto, anche con riguardo alla disciplina dei casi di ineleggibilità e di incompatibilità delle cariche elettive), «[i]n armonia con la Costituzione e i princìpi dell’ordinamento giuridico della Repubblica» (art. 15, secondo comma, dello statuto speciale).</w:t>
      </w:r>
    </w:p>
    <w:p w14:paraId="0A306BE1" w14:textId="77777777" w:rsidR="00A83472" w:rsidRPr="001C084A" w:rsidRDefault="00A83472" w:rsidP="00682966">
      <w:pPr>
        <w:jc w:val="both"/>
        <w:rPr>
          <w:b/>
          <w:bCs/>
        </w:rPr>
      </w:pPr>
      <w:r w:rsidRPr="001C084A">
        <w:rPr>
          <w:b/>
          <w:bCs/>
        </w:rPr>
        <w:t>Del resto, come già affermato da questa Corte, «l’esercizio del potere legislativo da parte delle Regioni in ambiti, pur ad esse affidati in via primaria, che concernano la ineleggibilità e la incompatibilità alle cariche elettive incontra necessariamente il limite del rispetto del principio di eguaglianza specificamente sancito in materia dall’art. 51 Cost.» (</w:t>
      </w:r>
      <w:hyperlink r:id="rId5" w:history="1">
        <w:r w:rsidRPr="001C084A">
          <w:rPr>
            <w:rStyle w:val="Collegamentoipertestuale"/>
            <w:b/>
            <w:bCs/>
          </w:rPr>
          <w:t>sentenza n. 143 del 2010</w:t>
        </w:r>
      </w:hyperlink>
      <w:r w:rsidRPr="001C084A">
        <w:rPr>
          <w:b/>
          <w:bCs/>
        </w:rPr>
        <w:t>).</w:t>
      </w:r>
    </w:p>
    <w:p w14:paraId="0A306BE2" w14:textId="77777777" w:rsidR="00A83472" w:rsidRPr="001C084A" w:rsidRDefault="00A83472" w:rsidP="00682966">
      <w:pPr>
        <w:jc w:val="both"/>
        <w:rPr>
          <w:b/>
          <w:bCs/>
        </w:rPr>
      </w:pPr>
      <w:r w:rsidRPr="001C084A">
        <w:rPr>
          <w:b/>
          <w:bCs/>
        </w:rPr>
        <w:t>Al tempo stesso, peraltro, questa Corte ha costantemente riconosciuto che discipline legislative differenziate possono essere ammissibili «solo in presenza di "particolari situazioni ambientali” (</w:t>
      </w:r>
      <w:hyperlink r:id="rId6" w:history="1">
        <w:r w:rsidRPr="001C084A">
          <w:rPr>
            <w:rStyle w:val="Collegamentoipertestuale"/>
            <w:b/>
            <w:bCs/>
          </w:rPr>
          <w:t>sentenza n. 283 del 2010</w:t>
        </w:r>
      </w:hyperlink>
      <w:r w:rsidRPr="001C084A">
        <w:rPr>
          <w:b/>
          <w:bCs/>
        </w:rPr>
        <w:t>) o "condizioni peculiari locali” (sentenze </w:t>
      </w:r>
      <w:hyperlink r:id="rId7" w:history="1">
        <w:r w:rsidRPr="001C084A">
          <w:rPr>
            <w:rStyle w:val="Collegamentoipertestuale"/>
            <w:b/>
            <w:bCs/>
          </w:rPr>
          <w:t>n. 143 del 2010</w:t>
        </w:r>
      </w:hyperlink>
      <w:r w:rsidRPr="001C084A">
        <w:rPr>
          <w:b/>
          <w:bCs/>
        </w:rPr>
        <w:t> e </w:t>
      </w:r>
      <w:hyperlink r:id="rId8" w:history="1">
        <w:r w:rsidRPr="001C084A">
          <w:rPr>
            <w:rStyle w:val="Collegamentoipertestuale"/>
            <w:b/>
            <w:bCs/>
          </w:rPr>
          <w:t>n. 276 del 1997</w:t>
        </w:r>
      </w:hyperlink>
      <w:r w:rsidRPr="001C084A">
        <w:rPr>
          <w:b/>
          <w:bCs/>
        </w:rPr>
        <w:t>), o "condizioni locali del tutto peculiari o eccezionali” (</w:t>
      </w:r>
      <w:hyperlink r:id="rId9" w:history="1">
        <w:r w:rsidRPr="001C084A">
          <w:rPr>
            <w:rStyle w:val="Collegamentoipertestuale"/>
            <w:b/>
            <w:bCs/>
          </w:rPr>
          <w:t>sentenza n. 539 del 1990</w:t>
        </w:r>
      </w:hyperlink>
      <w:r w:rsidRPr="001C084A">
        <w:rPr>
          <w:b/>
          <w:bCs/>
        </w:rPr>
        <w:t>), ossia "in presenza di situazioni concernenti categorie di soggetti, le quali siano esclusive” per la regione ad autonomia speciale, "ovvero si presentino diverse, messe a raffronto con quelle proprie delle stesse categorie di soggetti nel restante territorio nazionale” (</w:t>
      </w:r>
      <w:hyperlink r:id="rId10" w:history="1">
        <w:r w:rsidRPr="001C084A">
          <w:rPr>
            <w:rStyle w:val="Collegamentoipertestuale"/>
            <w:b/>
            <w:bCs/>
          </w:rPr>
          <w:t>sentenza n. 288 del 2007</w:t>
        </w:r>
      </w:hyperlink>
      <w:r w:rsidRPr="001C084A">
        <w:rPr>
          <w:b/>
          <w:bCs/>
        </w:rPr>
        <w:t>; in termini identici, </w:t>
      </w:r>
      <w:hyperlink r:id="rId11" w:history="1">
        <w:r w:rsidRPr="001C084A">
          <w:rPr>
            <w:rStyle w:val="Collegamentoipertestuale"/>
            <w:b/>
            <w:bCs/>
          </w:rPr>
          <w:t>sentenza n. 108 del 1969</w:t>
        </w:r>
      </w:hyperlink>
      <w:r w:rsidRPr="001C084A">
        <w:rPr>
          <w:b/>
          <w:bCs/>
        </w:rPr>
        <w:t>), o, ancora, "solo per particolari categorie di soggetti che siano esclusive della Regione” (</w:t>
      </w:r>
      <w:hyperlink r:id="rId12" w:history="1">
        <w:r w:rsidRPr="001C084A">
          <w:rPr>
            <w:rStyle w:val="Collegamentoipertestuale"/>
            <w:b/>
            <w:bCs/>
          </w:rPr>
          <w:t>sentenza n. 189 del 1971</w:t>
        </w:r>
      </w:hyperlink>
      <w:r w:rsidRPr="001C084A">
        <w:rPr>
          <w:b/>
          <w:bCs/>
        </w:rPr>
        <w:t>)» (così, da ultimo, </w:t>
      </w:r>
      <w:hyperlink r:id="rId13" w:history="1">
        <w:r w:rsidRPr="001C084A">
          <w:rPr>
            <w:rStyle w:val="Collegamentoipertestuale"/>
            <w:b/>
            <w:bCs/>
          </w:rPr>
          <w:t>sentenza n. 60 del 2023</w:t>
        </w:r>
      </w:hyperlink>
      <w:r w:rsidRPr="001C084A">
        <w:rPr>
          <w:b/>
          <w:bCs/>
        </w:rPr>
        <w:t>).</w:t>
      </w:r>
    </w:p>
    <w:p w14:paraId="0A306BE3" w14:textId="77777777" w:rsidR="00A83472" w:rsidRPr="001C084A" w:rsidRDefault="00A83472" w:rsidP="00682966">
      <w:pPr>
        <w:jc w:val="both"/>
        <w:rPr>
          <w:b/>
          <w:bCs/>
        </w:rPr>
      </w:pPr>
      <w:r w:rsidRPr="001C084A">
        <w:rPr>
          <w:b/>
          <w:bCs/>
        </w:rPr>
        <w:t>Situazioni che però non possono ritenersi sussistenti nel caso di specie.</w:t>
      </w:r>
    </w:p>
    <w:p w14:paraId="0A306BE4" w14:textId="77777777" w:rsidR="00A83472" w:rsidRPr="001F12E3" w:rsidRDefault="00A83472" w:rsidP="00682966">
      <w:pPr>
        <w:jc w:val="both"/>
        <w:rPr>
          <w:i/>
          <w:iCs/>
        </w:rPr>
      </w:pPr>
      <w:r w:rsidRPr="001F12E3">
        <w:rPr>
          <w:i/>
          <w:iCs/>
        </w:rPr>
        <w:t>Va infatti ribadito, salve le suddette ipotesi, in chiave generale, che «la disciplina regionale d’accesso alle cariche elettive deve essere strettamente conforme ai principi della legislazione statale, a causa della esigenza di uniformità in tutto il territorio nazionale» (</w:t>
      </w:r>
      <w:hyperlink r:id="rId14" w:history="1">
        <w:r w:rsidRPr="001F12E3">
          <w:rPr>
            <w:rStyle w:val="Collegamentoipertestuale"/>
            <w:i/>
            <w:iCs/>
          </w:rPr>
          <w:t>sentenza n. 288 del 2007</w:t>
        </w:r>
      </w:hyperlink>
      <w:r w:rsidRPr="001F12E3">
        <w:rPr>
          <w:i/>
          <w:iCs/>
        </w:rPr>
        <w:t xml:space="preserve">), venendo in considerazione un diritto, quello di elettorato passivo protetto dall’art. 51 Cost., che assurge a «"diritto politico </w:t>
      </w:r>
      <w:r w:rsidRPr="001F12E3">
        <w:rPr>
          <w:i/>
          <w:iCs/>
        </w:rPr>
        <w:lastRenderedPageBreak/>
        <w:t>fondamentale, riconosciuto ad ogni cittadino con i caratteri dell’inviolabilità (ex art. 2 della Costituzione)” (sentenze </w:t>
      </w:r>
      <w:hyperlink r:id="rId15" w:history="1">
        <w:r w:rsidRPr="001F12E3">
          <w:rPr>
            <w:rStyle w:val="Collegamentoipertestuale"/>
            <w:i/>
            <w:iCs/>
          </w:rPr>
          <w:t>n. 25 del 2008</w:t>
        </w:r>
      </w:hyperlink>
      <w:r w:rsidRPr="001F12E3">
        <w:rPr>
          <w:i/>
          <w:iCs/>
        </w:rPr>
        <w:t>, </w:t>
      </w:r>
      <w:hyperlink r:id="rId16" w:history="1">
        <w:r w:rsidRPr="001F12E3">
          <w:rPr>
            <w:rStyle w:val="Collegamentoipertestuale"/>
            <w:i/>
            <w:iCs/>
          </w:rPr>
          <w:t>n. 288 del 2007</w:t>
        </w:r>
      </w:hyperlink>
      <w:r w:rsidRPr="001F12E3">
        <w:rPr>
          <w:i/>
          <w:iCs/>
        </w:rPr>
        <w:t> e </w:t>
      </w:r>
      <w:hyperlink r:id="rId17" w:history="1">
        <w:r w:rsidRPr="001F12E3">
          <w:rPr>
            <w:rStyle w:val="Collegamentoipertestuale"/>
            <w:i/>
            <w:iCs/>
          </w:rPr>
          <w:t>n. 539 del 1990</w:t>
        </w:r>
      </w:hyperlink>
      <w:r w:rsidRPr="001F12E3">
        <w:rPr>
          <w:i/>
          <w:iCs/>
        </w:rPr>
        <w:t>)» (ancora, </w:t>
      </w:r>
      <w:hyperlink r:id="rId18" w:history="1">
        <w:r w:rsidRPr="001F12E3">
          <w:rPr>
            <w:rStyle w:val="Collegamentoipertestuale"/>
            <w:i/>
            <w:iCs/>
          </w:rPr>
          <w:t>sentenza n. 143 del 2010</w:t>
        </w:r>
      </w:hyperlink>
      <w:r w:rsidRPr="001F12E3">
        <w:rPr>
          <w:i/>
          <w:iCs/>
        </w:rPr>
        <w:t>) e che, come tale, «può essere unicamente disciplinato da leggi generali, che possono limitarlo soltanto al fine di realizzare altri interessi costituzionali altrettanto fondamentali e generali, senza porre discriminazioni sostanziali tra cittadino e cittadino, qualunque sia la regione o il luogo di appartenenza» (</w:t>
      </w:r>
      <w:hyperlink r:id="rId19" w:history="1">
        <w:r w:rsidRPr="001F12E3">
          <w:rPr>
            <w:rStyle w:val="Collegamentoipertestuale"/>
            <w:i/>
            <w:iCs/>
          </w:rPr>
          <w:t>sentenza n. 235 del 1988</w:t>
        </w:r>
      </w:hyperlink>
      <w:r w:rsidRPr="001F12E3">
        <w:rPr>
          <w:i/>
          <w:iCs/>
        </w:rPr>
        <w:t>).</w:t>
      </w:r>
    </w:p>
    <w:p w14:paraId="0A306BE5" w14:textId="77777777" w:rsidR="00A83472" w:rsidRPr="001F12E3" w:rsidRDefault="00A83472" w:rsidP="00682966">
      <w:pPr>
        <w:jc w:val="both"/>
        <w:rPr>
          <w:b/>
          <w:bCs/>
        </w:rPr>
      </w:pPr>
      <w:r w:rsidRPr="00A83472">
        <w:t>6</w:t>
      </w:r>
      <w:r w:rsidRPr="001F12E3">
        <w:rPr>
          <w:b/>
          <w:bCs/>
        </w:rPr>
        <w:t xml:space="preserve">.2.3.– In attuazione dell’art. 15, secondo comma, del proprio statuto di autonomia, la Regione autonoma della Sardegna è intervenuta a disciplinare la materia delle ineleggibilità e delle incompatibilità con le previsioni dettate dalla legge </w:t>
      </w:r>
      <w:proofErr w:type="spellStart"/>
      <w:r w:rsidRPr="001F12E3">
        <w:rPr>
          <w:b/>
          <w:bCs/>
        </w:rPr>
        <w:t>statut</w:t>
      </w:r>
      <w:proofErr w:type="spellEnd"/>
      <w:r w:rsidRPr="001F12E3">
        <w:rPr>
          <w:b/>
          <w:bCs/>
        </w:rPr>
        <w:t>. n. 1 del 2013, che vi ha dedicato il solo art. 22, recante una disciplina dichiaratamente provvisoria (e collocata, difatti, tra le «Norme transitorie» del Capo III). Il comma 2 di tale disposizione ha stabilito quanto segue: «In materia di ineleggibilità e incompatibilità, fino all’approvazione di una disciplina regionale ai sensi dell’articolo 15 dello Statuto speciale per la Sardegna, oltre a quanto previsto dallo stesso Statuto, si applicano le leggi statali».</w:t>
      </w:r>
    </w:p>
    <w:p w14:paraId="0A306BE6" w14:textId="77777777" w:rsidR="00A83472" w:rsidRPr="001F12E3" w:rsidRDefault="00A83472" w:rsidP="00682966">
      <w:pPr>
        <w:jc w:val="both"/>
        <w:rPr>
          <w:b/>
          <w:bCs/>
        </w:rPr>
      </w:pPr>
      <w:r w:rsidRPr="001F12E3">
        <w:rPr>
          <w:b/>
          <w:bCs/>
        </w:rPr>
        <w:t xml:space="preserve">Questa previsione ha formato oggetto di interpretazione autentica con riguardo al regime delle sole incompatibilità. L’art. 1 della legge statutaria regionale 11 settembre 2014, n. 1 (Ineleggibilità </w:t>
      </w:r>
      <w:proofErr w:type="spellStart"/>
      <w:r w:rsidRPr="001F12E3">
        <w:rPr>
          <w:b/>
          <w:bCs/>
        </w:rPr>
        <w:t>ed</w:t>
      </w:r>
      <w:proofErr w:type="spellEnd"/>
      <w:r w:rsidRPr="001F12E3">
        <w:rPr>
          <w:b/>
          <w:bCs/>
        </w:rPr>
        <w:t xml:space="preserve"> incompatibilità con la carica di consigliere regionale: interpretazione autentica dell’articolo 22, comma 2, della legge regionale </w:t>
      </w:r>
      <w:proofErr w:type="spellStart"/>
      <w:r w:rsidRPr="001F12E3">
        <w:rPr>
          <w:b/>
          <w:bCs/>
        </w:rPr>
        <w:t>statut</w:t>
      </w:r>
      <w:proofErr w:type="spellEnd"/>
      <w:r w:rsidRPr="001F12E3">
        <w:rPr>
          <w:b/>
          <w:bCs/>
        </w:rPr>
        <w:t>. n. 1 del 2013), ha precisato che la espressione «oltre a quanto previsto dallo stesso Statuto» si interpreta nel senso che per le categorie previste dall’art. 17 dello statuto (che, al secondo comma, già contemplava ipotesi di incompatibilità per i consiglieri regionali) «è escluso ogni riferimento alla legislazione statale ed i casi di incompatibilità sono solo quelli previsti dal medesimo articolo 17».</w:t>
      </w:r>
    </w:p>
    <w:p w14:paraId="0A306BE7" w14:textId="77777777" w:rsidR="00A83472" w:rsidRPr="001F12E3" w:rsidRDefault="00A83472" w:rsidP="00682966">
      <w:pPr>
        <w:jc w:val="both"/>
        <w:rPr>
          <w:b/>
          <w:bCs/>
        </w:rPr>
      </w:pPr>
      <w:r w:rsidRPr="001F12E3">
        <w:rPr>
          <w:b/>
          <w:bCs/>
        </w:rPr>
        <w:t>Quanto invece ai casi di ineleggibilità, in mancanza di analogo intervento chiarificatore del legislatore statutario regionale, spetta all’interprete farsi carico di intendere correttamente il senso del rinvio alle «leggi statali». Ciò, evidentemente, sul necessario presupposto che tale rinvio, per l’oggettiva ampiezza che lo caratterizza, non può non includere il richiamo, oltre che alle leggi statali dedicate alle ineleggibilità degli organi nazionali elettivi (le due Camere del Parlamento), anche a quelle che regolano la medesima materia quanto agli organi elettivi delle regioni a statuto ordinario.</w:t>
      </w:r>
    </w:p>
    <w:p w14:paraId="0A306BE8" w14:textId="77777777" w:rsidR="00A83472" w:rsidRPr="001D777B" w:rsidRDefault="00A83472" w:rsidP="00682966">
      <w:pPr>
        <w:jc w:val="both"/>
        <w:rPr>
          <w:b/>
          <w:bCs/>
        </w:rPr>
      </w:pPr>
      <w:r w:rsidRPr="001D777B">
        <w:rPr>
          <w:b/>
          <w:bCs/>
        </w:rPr>
        <w:t xml:space="preserve">Sotto un primo profilo, pertanto, il rinvio di cui all’art. 22, comma 2, della legge </w:t>
      </w:r>
      <w:proofErr w:type="spellStart"/>
      <w:r w:rsidRPr="001D777B">
        <w:rPr>
          <w:b/>
          <w:bCs/>
        </w:rPr>
        <w:t>statut</w:t>
      </w:r>
      <w:proofErr w:type="spellEnd"/>
      <w:r w:rsidRPr="001D777B">
        <w:rPr>
          <w:b/>
          <w:bCs/>
        </w:rPr>
        <w:t xml:space="preserve">. n. 1 del 2013 va inteso nel senso che sono richiamate le leggi statali che disciplinano, ex professo, le cause di ineleggibilità per le elezioni della Camera dei deputati e del Senato della Repubblica, nonché per le elezioni dei consigli regionali delle regioni a statuto ordinario. Acquisiscono quindi rilevanza, pure per la Regione autonoma della Sardegna, le ipotesi in tal senso contemplate sia dal decreto del Presidente della Repubblica 30 marzo 1957, n. 361 (Approvazione del testo unico delle leggi recanti norme per la elezione della Camera dei deputati), nonché dal decreto legislativo 20 dicembre 1993, n. 533 (Testo unico delle leggi recanti norme per l’elezione del Senato della Repubblica), sia dalla legge 23 aprile 1981, n. 154 (Norme in materia di ineleggibilità </w:t>
      </w:r>
      <w:proofErr w:type="spellStart"/>
      <w:r w:rsidRPr="001D777B">
        <w:rPr>
          <w:b/>
          <w:bCs/>
        </w:rPr>
        <w:t>ed</w:t>
      </w:r>
      <w:proofErr w:type="spellEnd"/>
      <w:r w:rsidRPr="001D777B">
        <w:rPr>
          <w:b/>
          <w:bCs/>
        </w:rPr>
        <w:t xml:space="preserve"> incompatibilità alle cariche di consigliere regionale, provinciale, comunale e circoscrizionale e in materia di incompatibilità degli addetti al Servizio sanitario nazionale).</w:t>
      </w:r>
    </w:p>
    <w:p w14:paraId="0A306BE9" w14:textId="77777777" w:rsidR="00A83472" w:rsidRPr="001D777B" w:rsidRDefault="00A83472" w:rsidP="00682966">
      <w:pPr>
        <w:jc w:val="both"/>
        <w:rPr>
          <w:b/>
          <w:bCs/>
        </w:rPr>
      </w:pPr>
      <w:r w:rsidRPr="001D777B">
        <w:rPr>
          <w:b/>
          <w:bCs/>
          <w:u w:val="single"/>
        </w:rPr>
        <w:t>L’oggettiva ampiezza che caratterizza il rinvio, peraltro, suggerisce che esso – sotto altro e più particolare profilo – intenda richiamare tutte le leggi statali che prevedono cause speciali di ineleggibilità, ulteriori cioè a quelle individuate dalle fonti generali fin qui menzionate</w:t>
      </w:r>
      <w:r w:rsidRPr="001D777B">
        <w:rPr>
          <w:b/>
          <w:bCs/>
        </w:rPr>
        <w:t xml:space="preserve">. In queste ipotesi speciali vanno annoverate anche quelle oggetto della legge n. 515 del 1993, che acquisiscono rilevanza per il presente giudizio, anche a prescindere dal fatto che si tratta di casi di ineleggibilità, comportanti decadenza, che quella legge (all’art. 20, comma 1) aveva originariamente stabilito per le sole cariche elettive del </w:t>
      </w:r>
      <w:r w:rsidRPr="001D777B">
        <w:rPr>
          <w:b/>
          <w:bCs/>
        </w:rPr>
        <w:lastRenderedPageBreak/>
        <w:t xml:space="preserve">Parlamento nazionale. </w:t>
      </w:r>
      <w:r w:rsidRPr="001D777B">
        <w:rPr>
          <w:b/>
          <w:bCs/>
          <w:u w:val="single"/>
        </w:rPr>
        <w:t>Infatti, l’art. 5, comma 4, della legge n. 43 del 1995 ha poi esteso quei casi anche alle regioni a statuto ordinario, stabilendo che «[a]</w:t>
      </w:r>
      <w:proofErr w:type="spellStart"/>
      <w:r w:rsidRPr="001D777B">
        <w:rPr>
          <w:b/>
          <w:bCs/>
          <w:u w:val="single"/>
        </w:rPr>
        <w:t>lle</w:t>
      </w:r>
      <w:proofErr w:type="spellEnd"/>
      <w:r w:rsidRPr="001D777B">
        <w:rPr>
          <w:b/>
          <w:bCs/>
          <w:u w:val="single"/>
        </w:rPr>
        <w:t xml:space="preserve"> elezioni dei consigli regionali delle regioni a statuto ordinario si applicano le disposizioni di cui ai seguenti articoli della legge 10 dicembre 1993, n. 515»,</w:t>
      </w:r>
      <w:r w:rsidRPr="001D777B">
        <w:rPr>
          <w:b/>
          <w:bCs/>
        </w:rPr>
        <w:t xml:space="preserve"> e indicando, di seguito, anche l’art. 7, commi 3, 4 e 6 (alla lettera a), e l’art. 15, commi 7, 8 e 9 (alla lettera g).</w:t>
      </w:r>
    </w:p>
    <w:p w14:paraId="0A306BEA" w14:textId="77777777" w:rsidR="00A83472" w:rsidRPr="00A83472" w:rsidRDefault="00A83472" w:rsidP="00682966">
      <w:pPr>
        <w:jc w:val="both"/>
      </w:pPr>
      <w:r w:rsidRPr="001F12E3">
        <w:rPr>
          <w:u w:val="single"/>
        </w:rPr>
        <w:t xml:space="preserve">Che tale estensione valga, adesso, anche per la Regione autonoma della Sardegna, pur dotata di autonomia statutaria, è quanto oggettivamente discende dall’art. 22 della legge </w:t>
      </w:r>
      <w:proofErr w:type="spellStart"/>
      <w:r w:rsidRPr="001F12E3">
        <w:rPr>
          <w:u w:val="single"/>
        </w:rPr>
        <w:t>statut</w:t>
      </w:r>
      <w:proofErr w:type="spellEnd"/>
      <w:r w:rsidRPr="001F12E3">
        <w:rPr>
          <w:u w:val="single"/>
        </w:rPr>
        <w:t>. n. 1 del 2013</w:t>
      </w:r>
      <w:r w:rsidRPr="00A83472">
        <w:t>. Il comma 1 dell’art. 22, infatti, richiama espressamente la legge n. 43 del 1995 per regolare, in via transitoria, ed in quanto compatibile, l’organizzazione amministrativa del procedimento e delle votazioni per l’elezione del Presidente della Regione e del Consiglio regionale. Di conseguenza, per la campagna elettorale per le elezioni del Presidente e del Consiglio regionale si applica, in quanto compatibile, anche l’art. 5, comma 4, della legge n. 43 del 1995 il quale, a propria volta, richiama gli artt. 7 e 15 della legge n. 515 del 1993. A ciò deve aggiungersi la previsione del comma 2 dell’art. 22 della legge statutaria regionale in esame, il quale conferma che, per la disciplina delle ineleggibilità, vale, sia pure transitoriamente, ed in quanto fonte statale, la legge n. 43 del 1995.</w:t>
      </w:r>
    </w:p>
    <w:p w14:paraId="0A306BEB" w14:textId="77777777" w:rsidR="00A83472" w:rsidRPr="001F12E3" w:rsidRDefault="00A83472" w:rsidP="00682966">
      <w:pPr>
        <w:jc w:val="both"/>
        <w:rPr>
          <w:b/>
          <w:bCs/>
        </w:rPr>
      </w:pPr>
      <w:r w:rsidRPr="001F12E3">
        <w:rPr>
          <w:b/>
          <w:bCs/>
        </w:rPr>
        <w:t>6.2.4.– Deve allora concludersi che sono applicabili anche per la elezione del Presidente della Regione autonoma della Sardegna le norme sulle spese della campagna elettorale dettate dagli artt. 7 e 15 della legge n. 515 del 1993, in modo sostanzialmente analogo a quanto aveva già previsto, nella vigenza della vecchia forma di governo regionale, la legge regionale n. 1 del 1994.</w:t>
      </w:r>
    </w:p>
    <w:p w14:paraId="0A306BEC" w14:textId="77777777" w:rsidR="00A83472" w:rsidRPr="007624C9" w:rsidRDefault="00A83472" w:rsidP="00682966">
      <w:pPr>
        <w:jc w:val="both"/>
        <w:rPr>
          <w:b/>
          <w:bCs/>
        </w:rPr>
      </w:pPr>
      <w:r w:rsidRPr="007624C9">
        <w:rPr>
          <w:b/>
          <w:bCs/>
        </w:rPr>
        <w:t>6.2.5.– Da ciò si ottiene un’ulteriore conferma di quanto poc’anzi già affermato, ossia che nella Regione autonoma della Sardegna, per scelta da attribuirsi al legislatore regionale statutario, è operante l’intero apparato di controllo chiamato ad assicurare la corretta applicazione del regime sulla pubblicità e sul controllo delle spese elettorali (apparato che la legge n. 515 del 1993 ha costruito, per le elezioni nazionali, intorno all’istituzione dei Collegi regionali di garanzia elettorale).</w:t>
      </w:r>
    </w:p>
    <w:p w14:paraId="0A306BED" w14:textId="77777777" w:rsidR="00A83472" w:rsidRPr="001D777B" w:rsidRDefault="00A83472" w:rsidP="00682966">
      <w:pPr>
        <w:jc w:val="both"/>
        <w:rPr>
          <w:b/>
          <w:bCs/>
          <w:i/>
          <w:iCs/>
        </w:rPr>
      </w:pPr>
      <w:r w:rsidRPr="001D777B">
        <w:rPr>
          <w:b/>
          <w:bCs/>
          <w:u w:val="single"/>
        </w:rPr>
        <w:t>In tal modo la Regione, rinviandovi, ha fatto proprie le istanze di trasparenza che sono alla base della disciplina sulla campagna elettorale, come introdotta dalla legge n. 515 del 1993</w:t>
      </w:r>
      <w:r w:rsidRPr="007624C9">
        <w:rPr>
          <w:b/>
          <w:bCs/>
        </w:rPr>
        <w:t xml:space="preserve">. </w:t>
      </w:r>
      <w:r w:rsidRPr="001D777B">
        <w:rPr>
          <w:b/>
          <w:bCs/>
          <w:i/>
          <w:iCs/>
        </w:rPr>
        <w:t xml:space="preserve">Lungi dal venirsi a creare, per tale Regione, un vuoto legislativo in ordine alla pubblicità e ai controlli sulle spese dei candidati alle elezioni regionali (tesi, quest’ultima, infondatamente sostenuta, nel presente giudizio, dalla medesima Regione), deve al contrario riaffermarsi che, proprio grazie al richiamo effettuato dall’art. 22, comma 2, della legge </w:t>
      </w:r>
      <w:proofErr w:type="spellStart"/>
      <w:r w:rsidRPr="001D777B">
        <w:rPr>
          <w:b/>
          <w:bCs/>
          <w:i/>
          <w:iCs/>
        </w:rPr>
        <w:t>statut</w:t>
      </w:r>
      <w:proofErr w:type="spellEnd"/>
      <w:r w:rsidRPr="001D777B">
        <w:rPr>
          <w:b/>
          <w:bCs/>
          <w:i/>
          <w:iCs/>
        </w:rPr>
        <w:t>. n. 1 del 2013, sono operativi, anche per le elezioni regionali sarde, gli strumenti che la legge n. 515 del 1993 ha approntato per garantire la genuinità e l’autenticità del formarsi della volontà del corpo elettorale, in una con la libertà di voto degli elettori. Pertanto, anche i «meccanismi finanziari», da quella legge «presidiati con una serie di controlli e gravati da rigidi moduli procedimentali», grazie ai quali è «possibile la divulgazione delle idee e la formazione del consenso» (</w:t>
      </w:r>
      <w:hyperlink r:id="rId20" w:history="1">
        <w:r w:rsidRPr="001D777B">
          <w:rPr>
            <w:rStyle w:val="Collegamentoipertestuale"/>
            <w:b/>
            <w:bCs/>
            <w:i/>
            <w:iCs/>
          </w:rPr>
          <w:t>sentenza n. 387 del 1996</w:t>
        </w:r>
      </w:hyperlink>
      <w:r w:rsidRPr="001D777B">
        <w:rPr>
          <w:b/>
          <w:bCs/>
          <w:i/>
          <w:iCs/>
        </w:rPr>
        <w:t>), devono ritenersi parte integrante dell’ordinamento elettorale vigente oggi nella Regione autonoma della Sardegna, ivi compresi quelli di cui agli artt. 7 e 15 della legge n. 515 del 1993. Può dunque essere esteso al legislatore statutario sardo del 2013 l’intento, che questa Corte ha già riconosciuto al legislatore statale del 1993, di «soddisfare molteplici esigenze, come quelle di contemperare la divulgazione dei programmi elettorali con la garanzia di una effettiva parità tra gruppi e candidati, di adeguare la propaganda alla logica maggioritaria del nuovo sistema, che implica il rischio di personalizzare la dialettica politica, e di rendere trasparenti i contributi, le spese nonché le situazioni patrimoniali e reddituali relative agli eletti» (</w:t>
      </w:r>
      <w:hyperlink r:id="rId21" w:history="1">
        <w:r w:rsidRPr="001D777B">
          <w:rPr>
            <w:rStyle w:val="Collegamentoipertestuale"/>
            <w:b/>
            <w:bCs/>
            <w:i/>
            <w:iCs/>
          </w:rPr>
          <w:t>sentenza n. 387 del 1996</w:t>
        </w:r>
      </w:hyperlink>
      <w:r w:rsidRPr="001D777B">
        <w:rPr>
          <w:b/>
          <w:bCs/>
          <w:i/>
          <w:iCs/>
        </w:rPr>
        <w:t>).</w:t>
      </w:r>
    </w:p>
    <w:p w14:paraId="0A306BEE" w14:textId="77777777" w:rsidR="00A83472" w:rsidRPr="001D777B" w:rsidRDefault="00A83472" w:rsidP="00682966">
      <w:pPr>
        <w:jc w:val="both"/>
        <w:rPr>
          <w:b/>
          <w:bCs/>
        </w:rPr>
      </w:pPr>
      <w:r w:rsidRPr="001D777B">
        <w:rPr>
          <w:b/>
          <w:bCs/>
        </w:rPr>
        <w:t>6.3.– Tutto ciò premesso, il ricorso è fondato nei termini che seguono.</w:t>
      </w:r>
    </w:p>
    <w:p w14:paraId="0A306BEF" w14:textId="77777777" w:rsidR="00A83472" w:rsidRPr="001D777B" w:rsidRDefault="00A83472" w:rsidP="00682966">
      <w:pPr>
        <w:jc w:val="both"/>
        <w:rPr>
          <w:b/>
          <w:bCs/>
        </w:rPr>
      </w:pPr>
      <w:r w:rsidRPr="001D777B">
        <w:rPr>
          <w:b/>
          <w:bCs/>
        </w:rPr>
        <w:lastRenderedPageBreak/>
        <w:t xml:space="preserve">Questa Corte ha costantemente affermato che rispetto al fondamentale diritto di elettorato passivo, «la </w:t>
      </w:r>
      <w:r w:rsidRPr="001D777B">
        <w:rPr>
          <w:b/>
          <w:bCs/>
          <w:u w:val="single"/>
        </w:rPr>
        <w:t>eleggibilità costituisce la regola, mentre la ineleggibilità rappresenta una eccezione</w:t>
      </w:r>
      <w:r w:rsidRPr="001D777B">
        <w:rPr>
          <w:b/>
          <w:bCs/>
        </w:rPr>
        <w:t>; sicché le norme che disciplinano quest’ultima sono di stretta interpretazione» (da ultimo, </w:t>
      </w:r>
      <w:hyperlink r:id="rId22" w:history="1">
        <w:r w:rsidRPr="001D777B">
          <w:rPr>
            <w:rStyle w:val="Collegamentoipertestuale"/>
            <w:b/>
            <w:bCs/>
          </w:rPr>
          <w:t>sentenza n. 131 del 2025</w:t>
        </w:r>
      </w:hyperlink>
      <w:r w:rsidRPr="001D777B">
        <w:rPr>
          <w:b/>
          <w:bCs/>
        </w:rPr>
        <w:t>, che richiama, tra le tante, la </w:t>
      </w:r>
      <w:hyperlink r:id="rId23" w:history="1">
        <w:r w:rsidRPr="001D777B">
          <w:rPr>
            <w:rStyle w:val="Collegamentoipertestuale"/>
            <w:b/>
            <w:bCs/>
          </w:rPr>
          <w:t>sentenza n. 120 del 2013</w:t>
        </w:r>
      </w:hyperlink>
      <w:r w:rsidRPr="001D777B">
        <w:rPr>
          <w:b/>
          <w:bCs/>
        </w:rPr>
        <w:t>; inoltre, anche sentenze </w:t>
      </w:r>
      <w:hyperlink r:id="rId24" w:history="1">
        <w:r w:rsidRPr="001D777B">
          <w:rPr>
            <w:rStyle w:val="Collegamentoipertestuale"/>
            <w:b/>
            <w:bCs/>
          </w:rPr>
          <w:t>n. 25 del 2008</w:t>
        </w:r>
      </w:hyperlink>
      <w:r w:rsidRPr="001D777B">
        <w:rPr>
          <w:b/>
          <w:bCs/>
        </w:rPr>
        <w:t> e </w:t>
      </w:r>
      <w:hyperlink r:id="rId25" w:history="1">
        <w:r w:rsidRPr="001D777B">
          <w:rPr>
            <w:rStyle w:val="Collegamentoipertestuale"/>
            <w:b/>
            <w:bCs/>
          </w:rPr>
          <w:t>n. 306 del 2003</w:t>
        </w:r>
      </w:hyperlink>
      <w:r w:rsidRPr="001D777B">
        <w:rPr>
          <w:b/>
          <w:bCs/>
        </w:rPr>
        <w:t>). Ciò impone una lettura rigorosa dell’art. 15 della legge n. 515 del 1993, nel senso che le cause di ineleggibilità (e di conseguente decadenza dalla carica elettiva) sono unicamente quelle ivi delineate in modo certo ed esplicito.</w:t>
      </w:r>
    </w:p>
    <w:p w14:paraId="0A306BF0" w14:textId="77777777" w:rsidR="00A83472" w:rsidRPr="001D777B" w:rsidRDefault="00A83472" w:rsidP="00682966">
      <w:pPr>
        <w:jc w:val="both"/>
        <w:rPr>
          <w:b/>
          <w:bCs/>
        </w:rPr>
      </w:pPr>
      <w:r w:rsidRPr="001D777B">
        <w:rPr>
          <w:b/>
          <w:bCs/>
        </w:rPr>
        <w:t>La fondatezza del ricorso emerge proprio con riguardo alle modalità che, nel caso di specie, hanno segnato l’agire del Collegio regionale di garanzia elettorale; modalità difformi dalle previsioni della legge n. 515 del 1993, e non in linea con lo spirito della stessa legge.</w:t>
      </w:r>
    </w:p>
    <w:p w14:paraId="0A306BF1" w14:textId="77777777" w:rsidR="00A83472" w:rsidRPr="001D777B" w:rsidRDefault="00A83472" w:rsidP="00682966">
      <w:pPr>
        <w:jc w:val="both"/>
        <w:rPr>
          <w:b/>
          <w:bCs/>
        </w:rPr>
      </w:pPr>
      <w:r w:rsidRPr="001D777B">
        <w:rPr>
          <w:b/>
          <w:bCs/>
        </w:rPr>
        <w:t xml:space="preserve">L’ordinanza-ingiunzione </w:t>
      </w:r>
      <w:r w:rsidRPr="001D777B">
        <w:rPr>
          <w:b/>
          <w:bCs/>
          <w:u w:val="single"/>
        </w:rPr>
        <w:t>ha ritenuto di rinvenire un’ipotesi decadenziale</w:t>
      </w:r>
      <w:r w:rsidRPr="001D777B">
        <w:rPr>
          <w:b/>
          <w:bCs/>
        </w:rPr>
        <w:t xml:space="preserve">, imponendola come vincolo per il Consiglio regionale, nelle seguenti fattispecie – contestate alla Presidente eletta – </w:t>
      </w:r>
      <w:r w:rsidRPr="001D777B">
        <w:rPr>
          <w:b/>
          <w:bCs/>
          <w:u w:val="single"/>
        </w:rPr>
        <w:t>di violazione delle norme della legge n. 515 del 1993: mancata nomina di un «mandatario elettorale» avente il compito di raccogliere i fondi della campagna elettorale (art. 7, comma 3, della legge n. 515 del 1993); mancata accensione di un conto corrente unico, dedicato a tutte le operazioni patrimoniali concernenti la campagna elettorale (art. 7, comma 4, della legge n. 515 del 1993); avvenuta produzione di una dichiarazione sulle spese sostenute, con relativo rendiconto, caratterizzata da diverse non conformità rispetto alle previsioni dell’art. 7, comma 6, della legge n. 515 del 1993</w:t>
      </w:r>
      <w:r w:rsidRPr="001D777B">
        <w:rPr>
          <w:b/>
          <w:bCs/>
        </w:rPr>
        <w:t>.</w:t>
      </w:r>
    </w:p>
    <w:p w14:paraId="0A306BF2" w14:textId="77777777" w:rsidR="00A83472" w:rsidRPr="001D777B" w:rsidRDefault="00A83472" w:rsidP="00682966">
      <w:pPr>
        <w:jc w:val="both"/>
        <w:rPr>
          <w:b/>
          <w:bCs/>
        </w:rPr>
      </w:pPr>
      <w:r w:rsidRPr="001D777B">
        <w:rPr>
          <w:b/>
          <w:bCs/>
        </w:rPr>
        <w:t xml:space="preserve">Tuttavia, nessuna delle pur gravi riscontrate violazioni </w:t>
      </w:r>
      <w:r w:rsidRPr="001D777B">
        <w:rPr>
          <w:b/>
          <w:bCs/>
          <w:u w:val="single"/>
        </w:rPr>
        <w:t>è specificamente individuata</w:t>
      </w:r>
      <w:r w:rsidRPr="001D777B">
        <w:rPr>
          <w:b/>
          <w:bCs/>
        </w:rPr>
        <w:t>, dall’art. 15 della legge n. 515 del 1993, come ipotesi di decadenza</w:t>
      </w:r>
      <w:r w:rsidRPr="00A83472">
        <w:t xml:space="preserve">. </w:t>
      </w:r>
      <w:r w:rsidRPr="001D777B">
        <w:rPr>
          <w:b/>
          <w:bCs/>
        </w:rPr>
        <w:t xml:space="preserve">Le fattispecie esplicite di decadenza sono altre e si rinvengono nei commi 8 e 9 del menzionato art. 15, che le riferiscono al </w:t>
      </w:r>
      <w:r w:rsidRPr="001D777B">
        <w:rPr>
          <w:b/>
          <w:bCs/>
          <w:u w:val="single"/>
        </w:rPr>
        <w:t>mancato deposito</w:t>
      </w:r>
      <w:r w:rsidRPr="001D777B">
        <w:rPr>
          <w:b/>
          <w:bCs/>
        </w:rPr>
        <w:t xml:space="preserve"> nel termine previsto della dichiarazione sulle spese «nonostante la diffida ad adempiere» (comma 8) e al «superamento dei limiti massimi di spesa consentiti […] </w:t>
      </w:r>
      <w:r w:rsidRPr="001D777B">
        <w:rPr>
          <w:b/>
          <w:bCs/>
          <w:u w:val="single"/>
        </w:rPr>
        <w:t>per un ammontare pari o superiore al doppio</w:t>
      </w:r>
      <w:r w:rsidRPr="001D777B">
        <w:rPr>
          <w:b/>
          <w:bCs/>
        </w:rPr>
        <w:t>» (comma 9). Ciò discende dal comma 7, che ricollega l’ineleggibilità e il conseguente effetto decadenziale ai «casi espressamente previsti nel presente articolo». Questa previsione va intesa in conformità alla ratio della legge n. 515 del 1993, che è quella – come già visto – di indirizzare rigorosamente il potere di accertamento del Collegio di garanzia, allorché si tratti di ineleggibilità, verso fattispecie certe e predeterminate, tali da non consentire liberi apprezzamenti, in punto di decadenza, da parte dell’organo di controllo.</w:t>
      </w:r>
    </w:p>
    <w:p w14:paraId="0A306BF3" w14:textId="77777777" w:rsidR="00A83472" w:rsidRPr="001D777B" w:rsidRDefault="00A83472" w:rsidP="00682966">
      <w:pPr>
        <w:jc w:val="both"/>
        <w:rPr>
          <w:b/>
          <w:bCs/>
        </w:rPr>
      </w:pPr>
      <w:r w:rsidRPr="001D777B">
        <w:rPr>
          <w:b/>
          <w:bCs/>
        </w:rPr>
        <w:t>Tale disposizione definisce il compito del Collegio regionale di garanzia elettorale di addivenire, «in modo definitivo», all’accertamento dei fatti prodromici alla dichiarazione di decadenza, da rimettere al Consiglio regionale. Ciò, come precisa la norma, nelle sole ipotesi fissate dal medesimo art. 15, le quali dunque coincidono esclusivamente con quelle indicate come tali, in modo esplicito, dai successivi commi 8 e 9.</w:t>
      </w:r>
    </w:p>
    <w:p w14:paraId="0A306BF4" w14:textId="77777777" w:rsidR="00A83472" w:rsidRPr="001D777B" w:rsidRDefault="00A83472" w:rsidP="00682966">
      <w:pPr>
        <w:jc w:val="both"/>
        <w:rPr>
          <w:b/>
          <w:bCs/>
          <w:u w:val="single"/>
        </w:rPr>
      </w:pPr>
      <w:r w:rsidRPr="001D777B">
        <w:rPr>
          <w:b/>
          <w:bCs/>
        </w:rPr>
        <w:t xml:space="preserve">Non potrebbe replicarsi che, nella motivazione, l’ordinanza del Collegio di garanzia, pur riferendosi al comma 7 dell’art. 15, e pur parlando </w:t>
      </w:r>
      <w:r w:rsidRPr="001D777B">
        <w:rPr>
          <w:b/>
          <w:bCs/>
          <w:u w:val="single"/>
        </w:rPr>
        <w:t>esplicitamente di una dichiarazione sulle spese non conforme</w:t>
      </w:r>
      <w:r w:rsidRPr="001D777B">
        <w:rPr>
          <w:b/>
          <w:bCs/>
        </w:rPr>
        <w:t>, avrebbe in realtà inteso contestare la fattispecie più grave consistente nel «mancato deposito nel termine previsto della dichiarazione», che il comma 8 fa assurgere, come visto, ad esplicita ipotesi di decadenza. Osta a tale ipotesi ricostruttiva il tenore inequivoco della motivazione dell’atto, nella quale l’organo di controllo ha chiarito (pagina 5 dell’ordinanza) «che non è stato affatto contestato […] il mancato deposito della dichiarazione di spesa e rendiconto – come previsto dall’art. 15, comma 8, della legge richiamata (diffida e termine di 15 giorni, come specificamente richiesto dalla norma)», quanto piuttosto di aver contestato «</w:t>
      </w:r>
      <w:r w:rsidRPr="001D777B">
        <w:rPr>
          <w:b/>
          <w:bCs/>
          <w:u w:val="single"/>
        </w:rPr>
        <w:t xml:space="preserve">l’anomalia derivante dalla non conformità della dichiarazione di spesa e rendiconto da lei </w:t>
      </w:r>
      <w:r w:rsidRPr="001D777B">
        <w:rPr>
          <w:b/>
          <w:bCs/>
          <w:u w:val="single"/>
        </w:rPr>
        <w:lastRenderedPageBreak/>
        <w:t>stessa presentata», avendo il Collegio avuto la possibilità di sottoporre ad esame «la dichiarazione di spesa e rendiconto depositate con la relativa documentazione».</w:t>
      </w:r>
    </w:p>
    <w:p w14:paraId="0A306BF5" w14:textId="77777777" w:rsidR="00A83472" w:rsidRPr="001D777B" w:rsidRDefault="00A83472" w:rsidP="00682966">
      <w:pPr>
        <w:jc w:val="both"/>
        <w:rPr>
          <w:b/>
          <w:bCs/>
        </w:rPr>
      </w:pPr>
      <w:r w:rsidRPr="001D777B">
        <w:rPr>
          <w:b/>
          <w:bCs/>
        </w:rPr>
        <w:t xml:space="preserve">In ragione di quanto precede, deve concludersi che </w:t>
      </w:r>
      <w:r w:rsidRPr="001D777B">
        <w:rPr>
          <w:b/>
          <w:bCs/>
          <w:u w:val="single"/>
        </w:rPr>
        <w:t>non spettava</w:t>
      </w:r>
      <w:r w:rsidRPr="001D777B">
        <w:rPr>
          <w:b/>
          <w:bCs/>
        </w:rPr>
        <w:t xml:space="preserve"> al Collegio regionale di garanzia elettorale di imporre la decadenza del Presidente della Regione, sulla base di fattispecie non riconducibili a quelle indicate dall’art. 15, commi 8 e 9, della legge n. 515 del 1993, come tali non idonee neppure a legittimare la comunicazione del provvedimento al Presidente del Consiglio regionale, ai sensi dell’art. 15, comma 10, della legge n. 515 del 1993.</w:t>
      </w:r>
    </w:p>
    <w:p w14:paraId="0A306BF6" w14:textId="77777777" w:rsidR="00A83472" w:rsidRPr="001D777B" w:rsidRDefault="00A83472" w:rsidP="00682966">
      <w:pPr>
        <w:jc w:val="both"/>
        <w:rPr>
          <w:b/>
          <w:bCs/>
        </w:rPr>
      </w:pPr>
      <w:r w:rsidRPr="001D777B">
        <w:rPr>
          <w:b/>
          <w:bCs/>
        </w:rPr>
        <w:t>6.4.– Le conclusioni cui questa Corte è pervenuta esauriscono il giudizio cui essa è chiamata nella presente sede, per avere l’atto esorbitato dai poteri rimessi all’organo statale di controllo e cagionato una menomazione delle attribuzioni costituzionalmente garantite alla Regione autonoma della Sardegna.</w:t>
      </w:r>
    </w:p>
    <w:p w14:paraId="0A306BF7" w14:textId="77777777" w:rsidR="00A83472" w:rsidRPr="001D777B" w:rsidRDefault="00A83472" w:rsidP="00682966">
      <w:pPr>
        <w:jc w:val="both"/>
        <w:rPr>
          <w:b/>
          <w:bCs/>
        </w:rPr>
      </w:pPr>
      <w:r w:rsidRPr="001D777B">
        <w:rPr>
          <w:b/>
          <w:bCs/>
          <w:u w:val="single"/>
        </w:rPr>
        <w:t>Resta impregiudicata la questione relativa alla possibilità di riqualificazione dei fatti, che è rimessa al giudice civile, competente per il giudizio di opposizione all’ordinanza-ingiunzione</w:t>
      </w:r>
      <w:r w:rsidRPr="001D777B">
        <w:rPr>
          <w:b/>
          <w:bCs/>
        </w:rPr>
        <w:t>.</w:t>
      </w:r>
    </w:p>
    <w:p w14:paraId="0A306BF8" w14:textId="77777777" w:rsidR="00A83472" w:rsidRPr="001D777B" w:rsidRDefault="00A83472" w:rsidP="00682966">
      <w:pPr>
        <w:jc w:val="both"/>
        <w:rPr>
          <w:b/>
          <w:bCs/>
        </w:rPr>
      </w:pPr>
      <w:r w:rsidRPr="001D777B">
        <w:rPr>
          <w:b/>
          <w:bCs/>
        </w:rPr>
        <w:t>7.– Nei termini indicati il ricorso della Regione autonoma della Sardegna è pertanto da accogliere e deve dichiararsi che non spettava allo Stato e, per esso, al Collegio regionale di garanzia elettorale istituito presso la Corte d’appello di Cagliari, di affermare, nella motivazione della ordinanza-ingiunzione del 20 dicembre 2024, che «si impone la decadenza dalla carica del candidato eletto» e, per l’effetto, di disporre «la trasmissione della presente ordinanza/ingiunzione al Presidente del Consiglio Regionale per quanto di Sua competenza in ordine all’adozione del provvedimento di decadenza di Todde Alessandra dalla carica di Presidente della Regione Sardegna».</w:t>
      </w:r>
    </w:p>
    <w:p w14:paraId="0A306BF9" w14:textId="77777777" w:rsidR="00A83472" w:rsidRPr="001D777B" w:rsidRDefault="00A83472" w:rsidP="00682966">
      <w:pPr>
        <w:jc w:val="both"/>
        <w:rPr>
          <w:b/>
          <w:bCs/>
        </w:rPr>
      </w:pPr>
      <w:r w:rsidRPr="001D777B">
        <w:rPr>
          <w:b/>
          <w:bCs/>
        </w:rPr>
        <w:t xml:space="preserve">Conseguentemente, la </w:t>
      </w:r>
      <w:proofErr w:type="gramStart"/>
      <w:r w:rsidRPr="001D777B">
        <w:rPr>
          <w:b/>
          <w:bCs/>
        </w:rPr>
        <w:t>predetta</w:t>
      </w:r>
      <w:proofErr w:type="gramEnd"/>
      <w:r w:rsidRPr="001D777B">
        <w:rPr>
          <w:b/>
          <w:bCs/>
        </w:rPr>
        <w:t xml:space="preserve"> ordinanza-ingiunzione deve essere annullata in parte qua.</w:t>
      </w:r>
    </w:p>
    <w:p w14:paraId="0A306BFA" w14:textId="77777777" w:rsidR="00A83472" w:rsidRPr="001D777B" w:rsidRDefault="00A83472" w:rsidP="00682966">
      <w:pPr>
        <w:jc w:val="both"/>
        <w:rPr>
          <w:b/>
          <w:bCs/>
        </w:rPr>
      </w:pPr>
      <w:r w:rsidRPr="001D777B">
        <w:rPr>
          <w:b/>
          <w:bCs/>
        </w:rPr>
        <w:t>per questi motivi</w:t>
      </w:r>
    </w:p>
    <w:p w14:paraId="0A306BFB" w14:textId="77777777" w:rsidR="00A83472" w:rsidRPr="001D777B" w:rsidRDefault="00A83472" w:rsidP="00682966">
      <w:pPr>
        <w:jc w:val="both"/>
        <w:rPr>
          <w:b/>
          <w:bCs/>
        </w:rPr>
      </w:pPr>
      <w:r w:rsidRPr="001D777B">
        <w:rPr>
          <w:b/>
          <w:bCs/>
        </w:rPr>
        <w:t>LA CORTE COSTITUZIONALE</w:t>
      </w:r>
    </w:p>
    <w:p w14:paraId="0A306BFC" w14:textId="77777777" w:rsidR="00A83472" w:rsidRPr="001D777B" w:rsidRDefault="00A83472" w:rsidP="00682966">
      <w:pPr>
        <w:jc w:val="both"/>
        <w:rPr>
          <w:b/>
          <w:bCs/>
        </w:rPr>
      </w:pPr>
      <w:r w:rsidRPr="001D777B">
        <w:rPr>
          <w:b/>
          <w:bCs/>
        </w:rPr>
        <w:t>1) dichiara inammissibile il ricorso per conflitto di attribuzione tra enti indicato in epigrafe, promosso dalla Regione autonoma della Sardegna nei confronti del Ministro della giustizia;</w:t>
      </w:r>
    </w:p>
    <w:p w14:paraId="0A306BFD" w14:textId="77777777" w:rsidR="00A83472" w:rsidRPr="001D777B" w:rsidRDefault="00A83472" w:rsidP="00682966">
      <w:pPr>
        <w:jc w:val="both"/>
        <w:rPr>
          <w:b/>
          <w:bCs/>
        </w:rPr>
      </w:pPr>
      <w:r w:rsidRPr="001D777B">
        <w:rPr>
          <w:b/>
          <w:bCs/>
        </w:rPr>
        <w:t>2) dichiara che non spettava allo Stato e, per esso, al Collegio regionale di garanzia elettorale istituito presso la Corte d’appello di Cagliari, di affermare, nella motivazione della ordinanza-ingiunzione del 20 dicembre 2024, che «si impone la decadenza dalla carica del candidato eletto» e, per l’effetto, di disporre «la trasmissione della presente ordinanza/ingiunzione al Presidente del Consiglio Regionale per quanto di Sua competenza in ordine all’adozione del provvedimento di decadenza di Todde Alessandra dalla carica di Presidente della Regione Sardegna»;</w:t>
      </w:r>
    </w:p>
    <w:p w14:paraId="0A306BFE" w14:textId="77777777" w:rsidR="00A83472" w:rsidRPr="00A83472" w:rsidRDefault="00A83472" w:rsidP="00682966">
      <w:pPr>
        <w:jc w:val="both"/>
      </w:pPr>
      <w:r w:rsidRPr="00A83472">
        <w:t>3) annulla, per l’effetto, la suddetta ordinanza-ingiunzione in parte qua.</w:t>
      </w:r>
    </w:p>
    <w:p w14:paraId="0A306BFF" w14:textId="77777777" w:rsidR="00A83472" w:rsidRPr="00A83472" w:rsidRDefault="00A83472" w:rsidP="00682966">
      <w:pPr>
        <w:jc w:val="both"/>
      </w:pPr>
      <w:r w:rsidRPr="00A83472">
        <w:t>Così deciso in Roma, nella sede della Corte costituzionale, Palazzo della Consulta, il 24 settembre 2025.</w:t>
      </w:r>
    </w:p>
    <w:p w14:paraId="0A306C00" w14:textId="77777777" w:rsidR="00A83472" w:rsidRPr="00A83472" w:rsidRDefault="00A83472" w:rsidP="00682966">
      <w:pPr>
        <w:jc w:val="both"/>
      </w:pPr>
      <w:r w:rsidRPr="00A83472">
        <w:t>F.to:</w:t>
      </w:r>
    </w:p>
    <w:p w14:paraId="0A306C01" w14:textId="77777777" w:rsidR="00A83472" w:rsidRPr="00A83472" w:rsidRDefault="00A83472" w:rsidP="00682966">
      <w:pPr>
        <w:jc w:val="both"/>
      </w:pPr>
      <w:r w:rsidRPr="00A83472">
        <w:t>Giovanni AMOROSO, Presidente</w:t>
      </w:r>
    </w:p>
    <w:p w14:paraId="0A306C02" w14:textId="77777777" w:rsidR="00A83472" w:rsidRPr="00A83472" w:rsidRDefault="00A83472" w:rsidP="00682966">
      <w:pPr>
        <w:jc w:val="both"/>
      </w:pPr>
      <w:r w:rsidRPr="00A83472">
        <w:t>Maria Rosaria SAN GIORGIO, Redattrice</w:t>
      </w:r>
    </w:p>
    <w:p w14:paraId="0A306C03" w14:textId="77777777" w:rsidR="00A83472" w:rsidRPr="00A83472" w:rsidRDefault="00A83472" w:rsidP="00682966">
      <w:pPr>
        <w:jc w:val="both"/>
      </w:pPr>
      <w:r w:rsidRPr="00A83472">
        <w:t>Valeria EMMA, Cancelliere</w:t>
      </w:r>
    </w:p>
    <w:p w14:paraId="0A306C04" w14:textId="77777777" w:rsidR="00A83472" w:rsidRPr="00A83472" w:rsidRDefault="00A83472" w:rsidP="00682966">
      <w:pPr>
        <w:jc w:val="both"/>
      </w:pPr>
      <w:r w:rsidRPr="00A83472">
        <w:lastRenderedPageBreak/>
        <w:t>Depositata in Cancelleria il 15 ottobre 2025</w:t>
      </w:r>
    </w:p>
    <w:p w14:paraId="0A306C05" w14:textId="77777777" w:rsidR="00037F12" w:rsidRDefault="00037F12" w:rsidP="00682966">
      <w:pPr>
        <w:jc w:val="both"/>
      </w:pPr>
    </w:p>
    <w:sectPr w:rsidR="00037F1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30172D"/>
    <w:rsid w:val="000334DA"/>
    <w:rsid w:val="00037F12"/>
    <w:rsid w:val="00177F02"/>
    <w:rsid w:val="001C084A"/>
    <w:rsid w:val="001D777B"/>
    <w:rsid w:val="001F12E3"/>
    <w:rsid w:val="002618D6"/>
    <w:rsid w:val="0030172D"/>
    <w:rsid w:val="00333BEA"/>
    <w:rsid w:val="0059047F"/>
    <w:rsid w:val="00653601"/>
    <w:rsid w:val="00682966"/>
    <w:rsid w:val="007624C9"/>
    <w:rsid w:val="007E3D09"/>
    <w:rsid w:val="007F7A81"/>
    <w:rsid w:val="008D5190"/>
    <w:rsid w:val="00A83472"/>
    <w:rsid w:val="00BC201A"/>
    <w:rsid w:val="00CA3F0C"/>
    <w:rsid w:val="00CF2E5A"/>
    <w:rsid w:val="00D056BC"/>
    <w:rsid w:val="00DD5896"/>
    <w:rsid w:val="00ED40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06B3C"/>
  <w15:chartTrackingRefBased/>
  <w15:docId w15:val="{D1B640DF-ECD6-4991-B078-1179B872AA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0172D"/>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olo2">
    <w:name w:val="heading 2"/>
    <w:basedOn w:val="Normale"/>
    <w:next w:val="Normale"/>
    <w:link w:val="Titolo2Carattere"/>
    <w:uiPriority w:val="9"/>
    <w:semiHidden/>
    <w:unhideWhenUsed/>
    <w:qFormat/>
    <w:rsid w:val="0030172D"/>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30172D"/>
    <w:pPr>
      <w:keepNext/>
      <w:keepLines/>
      <w:spacing w:before="160" w:after="80"/>
      <w:outlineLvl w:val="2"/>
    </w:pPr>
    <w:rPr>
      <w:rFonts w:eastAsiaTheme="majorEastAsia"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30172D"/>
    <w:pPr>
      <w:keepNext/>
      <w:keepLines/>
      <w:spacing w:before="80" w:after="40"/>
      <w:outlineLvl w:val="3"/>
    </w:pPr>
    <w:rPr>
      <w:rFonts w:eastAsiaTheme="majorEastAsia"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30172D"/>
    <w:pPr>
      <w:keepNext/>
      <w:keepLines/>
      <w:spacing w:before="80" w:after="40"/>
      <w:outlineLvl w:val="4"/>
    </w:pPr>
    <w:rPr>
      <w:rFonts w:eastAsiaTheme="majorEastAsia" w:cstheme="majorBidi"/>
      <w:color w:val="365F91" w:themeColor="accent1" w:themeShade="BF"/>
    </w:rPr>
  </w:style>
  <w:style w:type="paragraph" w:styleId="Titolo6">
    <w:name w:val="heading 6"/>
    <w:basedOn w:val="Normale"/>
    <w:next w:val="Normale"/>
    <w:link w:val="Titolo6Carattere"/>
    <w:uiPriority w:val="9"/>
    <w:semiHidden/>
    <w:unhideWhenUsed/>
    <w:qFormat/>
    <w:rsid w:val="0030172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0172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0172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0172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0172D"/>
    <w:rPr>
      <w:rFonts w:asciiTheme="majorHAnsi" w:eastAsiaTheme="majorEastAsia" w:hAnsiTheme="majorHAnsi" w:cstheme="majorBidi"/>
      <w:color w:val="365F91" w:themeColor="accent1" w:themeShade="BF"/>
      <w:sz w:val="40"/>
      <w:szCs w:val="40"/>
    </w:rPr>
  </w:style>
  <w:style w:type="character" w:customStyle="1" w:styleId="Titolo2Carattere">
    <w:name w:val="Titolo 2 Carattere"/>
    <w:basedOn w:val="Carpredefinitoparagrafo"/>
    <w:link w:val="Titolo2"/>
    <w:uiPriority w:val="9"/>
    <w:semiHidden/>
    <w:rsid w:val="0030172D"/>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semiHidden/>
    <w:rsid w:val="0030172D"/>
    <w:rPr>
      <w:rFonts w:eastAsiaTheme="majorEastAsia" w:cstheme="majorBidi"/>
      <w:color w:val="365F91" w:themeColor="accent1" w:themeShade="BF"/>
      <w:sz w:val="28"/>
      <w:szCs w:val="28"/>
    </w:rPr>
  </w:style>
  <w:style w:type="character" w:customStyle="1" w:styleId="Titolo4Carattere">
    <w:name w:val="Titolo 4 Carattere"/>
    <w:basedOn w:val="Carpredefinitoparagrafo"/>
    <w:link w:val="Titolo4"/>
    <w:uiPriority w:val="9"/>
    <w:semiHidden/>
    <w:rsid w:val="0030172D"/>
    <w:rPr>
      <w:rFonts w:eastAsiaTheme="majorEastAsia" w:cstheme="majorBidi"/>
      <w:i/>
      <w:iCs/>
      <w:color w:val="365F91" w:themeColor="accent1" w:themeShade="BF"/>
    </w:rPr>
  </w:style>
  <w:style w:type="character" w:customStyle="1" w:styleId="Titolo5Carattere">
    <w:name w:val="Titolo 5 Carattere"/>
    <w:basedOn w:val="Carpredefinitoparagrafo"/>
    <w:link w:val="Titolo5"/>
    <w:uiPriority w:val="9"/>
    <w:semiHidden/>
    <w:rsid w:val="0030172D"/>
    <w:rPr>
      <w:rFonts w:eastAsiaTheme="majorEastAsia" w:cstheme="majorBidi"/>
      <w:color w:val="365F91" w:themeColor="accent1" w:themeShade="BF"/>
    </w:rPr>
  </w:style>
  <w:style w:type="character" w:customStyle="1" w:styleId="Titolo6Carattere">
    <w:name w:val="Titolo 6 Carattere"/>
    <w:basedOn w:val="Carpredefinitoparagrafo"/>
    <w:link w:val="Titolo6"/>
    <w:uiPriority w:val="9"/>
    <w:semiHidden/>
    <w:rsid w:val="0030172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0172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0172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0172D"/>
    <w:rPr>
      <w:rFonts w:eastAsiaTheme="majorEastAsia" w:cstheme="majorBidi"/>
      <w:color w:val="272727" w:themeColor="text1" w:themeTint="D8"/>
    </w:rPr>
  </w:style>
  <w:style w:type="paragraph" w:styleId="Titolo">
    <w:name w:val="Title"/>
    <w:basedOn w:val="Normale"/>
    <w:next w:val="Normale"/>
    <w:link w:val="TitoloCarattere"/>
    <w:uiPriority w:val="10"/>
    <w:qFormat/>
    <w:rsid w:val="003017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0172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0172D"/>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0172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0172D"/>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30172D"/>
    <w:rPr>
      <w:i/>
      <w:iCs/>
      <w:color w:val="404040" w:themeColor="text1" w:themeTint="BF"/>
    </w:rPr>
  </w:style>
  <w:style w:type="paragraph" w:styleId="Paragrafoelenco">
    <w:name w:val="List Paragraph"/>
    <w:basedOn w:val="Normale"/>
    <w:uiPriority w:val="34"/>
    <w:qFormat/>
    <w:rsid w:val="0030172D"/>
    <w:pPr>
      <w:ind w:left="720"/>
      <w:contextualSpacing/>
    </w:pPr>
  </w:style>
  <w:style w:type="character" w:styleId="Enfasiintensa">
    <w:name w:val="Intense Emphasis"/>
    <w:basedOn w:val="Carpredefinitoparagrafo"/>
    <w:uiPriority w:val="21"/>
    <w:qFormat/>
    <w:rsid w:val="0030172D"/>
    <w:rPr>
      <w:i/>
      <w:iCs/>
      <w:color w:val="365F91" w:themeColor="accent1" w:themeShade="BF"/>
    </w:rPr>
  </w:style>
  <w:style w:type="paragraph" w:styleId="Citazioneintensa">
    <w:name w:val="Intense Quote"/>
    <w:basedOn w:val="Normale"/>
    <w:next w:val="Normale"/>
    <w:link w:val="CitazioneintensaCarattere"/>
    <w:uiPriority w:val="30"/>
    <w:qFormat/>
    <w:rsid w:val="0030172D"/>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zioneintensaCarattere">
    <w:name w:val="Citazione intensa Carattere"/>
    <w:basedOn w:val="Carpredefinitoparagrafo"/>
    <w:link w:val="Citazioneintensa"/>
    <w:uiPriority w:val="30"/>
    <w:rsid w:val="0030172D"/>
    <w:rPr>
      <w:i/>
      <w:iCs/>
      <w:color w:val="365F91" w:themeColor="accent1" w:themeShade="BF"/>
    </w:rPr>
  </w:style>
  <w:style w:type="character" w:styleId="Riferimentointenso">
    <w:name w:val="Intense Reference"/>
    <w:basedOn w:val="Carpredefinitoparagrafo"/>
    <w:uiPriority w:val="32"/>
    <w:qFormat/>
    <w:rsid w:val="0030172D"/>
    <w:rPr>
      <w:b/>
      <w:bCs/>
      <w:smallCaps/>
      <w:color w:val="365F91" w:themeColor="accent1" w:themeShade="BF"/>
      <w:spacing w:val="5"/>
    </w:rPr>
  </w:style>
  <w:style w:type="character" w:styleId="Collegamentoipertestuale">
    <w:name w:val="Hyperlink"/>
    <w:basedOn w:val="Carpredefinitoparagrafo"/>
    <w:uiPriority w:val="99"/>
    <w:unhideWhenUsed/>
    <w:rsid w:val="00A83472"/>
    <w:rPr>
      <w:color w:val="0000FF" w:themeColor="hyperlink"/>
      <w:u w:val="single"/>
    </w:rPr>
  </w:style>
  <w:style w:type="character" w:styleId="Menzionenonrisolta">
    <w:name w:val="Unresolved Mention"/>
    <w:basedOn w:val="Carpredefinitoparagrafo"/>
    <w:uiPriority w:val="99"/>
    <w:semiHidden/>
    <w:unhideWhenUsed/>
    <w:rsid w:val="00A834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1997/0276s-97.html" TargetMode="External"/><Relationship Id="rId13" Type="http://schemas.openxmlformats.org/officeDocument/2006/relationships/hyperlink" Target="https://giurcost.org/decisioni/2023/0060s-23.html" TargetMode="External"/><Relationship Id="rId18" Type="http://schemas.openxmlformats.org/officeDocument/2006/relationships/hyperlink" Target="https://giurcost.org/decisioni/2010/0143s-10.html"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giurcost.org/decisioni/1996/0387s-96.html" TargetMode="External"/><Relationship Id="rId7" Type="http://schemas.openxmlformats.org/officeDocument/2006/relationships/hyperlink" Target="https://giurcost.org/decisioni/2010/0143s-10.html" TargetMode="External"/><Relationship Id="rId12" Type="http://schemas.openxmlformats.org/officeDocument/2006/relationships/hyperlink" Target="https://giurcost.org/decisioni/1971/0189s-71.html" TargetMode="External"/><Relationship Id="rId17" Type="http://schemas.openxmlformats.org/officeDocument/2006/relationships/hyperlink" Target="https://giurcost.org/decisioni/1990/0539s-90.html" TargetMode="External"/><Relationship Id="rId25" Type="http://schemas.openxmlformats.org/officeDocument/2006/relationships/hyperlink" Target="https://giurcost.org/decisioni/2003/0306s-03.html" TargetMode="External"/><Relationship Id="rId2" Type="http://schemas.openxmlformats.org/officeDocument/2006/relationships/settings" Target="settings.xml"/><Relationship Id="rId16" Type="http://schemas.openxmlformats.org/officeDocument/2006/relationships/hyperlink" Target="https://giurcost.org/decisioni/2007/0288s-07.html" TargetMode="External"/><Relationship Id="rId20" Type="http://schemas.openxmlformats.org/officeDocument/2006/relationships/hyperlink" Target="https://giurcost.org/decisioni/1996/0387s-96.html" TargetMode="External"/><Relationship Id="rId1" Type="http://schemas.openxmlformats.org/officeDocument/2006/relationships/styles" Target="styles.xml"/><Relationship Id="rId6" Type="http://schemas.openxmlformats.org/officeDocument/2006/relationships/hyperlink" Target="https://giurcost.org/decisioni/2010/0283s-10.html" TargetMode="External"/><Relationship Id="rId11" Type="http://schemas.openxmlformats.org/officeDocument/2006/relationships/hyperlink" Target="https://giurcost.org/decisioni/1969/0108s-69.html" TargetMode="External"/><Relationship Id="rId24" Type="http://schemas.openxmlformats.org/officeDocument/2006/relationships/hyperlink" Target="https://giurcost.org/decisioni/2008/0025s-08.html" TargetMode="External"/><Relationship Id="rId5" Type="http://schemas.openxmlformats.org/officeDocument/2006/relationships/hyperlink" Target="https://giurcost.org/decisioni/2010/0143s-10.html" TargetMode="External"/><Relationship Id="rId15" Type="http://schemas.openxmlformats.org/officeDocument/2006/relationships/hyperlink" Target="https://giurcost.org/decisioni/2008/0025s-08.html" TargetMode="External"/><Relationship Id="rId23" Type="http://schemas.openxmlformats.org/officeDocument/2006/relationships/hyperlink" Target="https://giurcost.org/decisioni/2013/0120s-13.html" TargetMode="External"/><Relationship Id="rId10" Type="http://schemas.openxmlformats.org/officeDocument/2006/relationships/hyperlink" Target="https://giurcost.org/decisioni/2007/0288s-07.html" TargetMode="External"/><Relationship Id="rId19" Type="http://schemas.openxmlformats.org/officeDocument/2006/relationships/hyperlink" Target="https://giurcost.org/decisioni/1988/0235s-88.html" TargetMode="External"/><Relationship Id="rId4" Type="http://schemas.openxmlformats.org/officeDocument/2006/relationships/hyperlink" Target="https://giurcost.org/decisioni/2025/0064s-25.html" TargetMode="External"/><Relationship Id="rId9" Type="http://schemas.openxmlformats.org/officeDocument/2006/relationships/hyperlink" Target="https://giurcost.org/decisioni/1990/0539s-90.html" TargetMode="External"/><Relationship Id="rId14" Type="http://schemas.openxmlformats.org/officeDocument/2006/relationships/hyperlink" Target="https://giurcost.org/decisioni/2007/0288s-07.html" TargetMode="External"/><Relationship Id="rId22" Type="http://schemas.openxmlformats.org/officeDocument/2006/relationships/hyperlink" Target="https://giurcost.org/decisioni/2025/0131s-25.html" TargetMode="External"/><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9</Pages>
  <Words>4714</Words>
  <Characters>26874</Characters>
  <Application>Microsoft Office Word</Application>
  <DocSecurity>0</DocSecurity>
  <Lines>223</Lines>
  <Paragraphs>63</Paragraphs>
  <ScaleCrop>false</ScaleCrop>
  <Company/>
  <LinksUpToDate>false</LinksUpToDate>
  <CharactersWithSpaces>31525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20</cp:revision>
  <dcterms:created xsi:type="dcterms:W3CDTF">2025-10-29T15:14:00Z</dcterms:created>
  <dcterms:modified xsi:type="dcterms:W3CDTF">2025-10-29T16:42:00Z</dcterms:modified>
</cp:coreProperties>
</file>