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CF379" w14:textId="77777777" w:rsidR="00445B9F" w:rsidRPr="00445B9F" w:rsidRDefault="00445B9F" w:rsidP="00445B9F">
      <w:r w:rsidRPr="00445B9F">
        <w:t>SENTENZA N. 149</w:t>
      </w:r>
    </w:p>
    <w:p w14:paraId="2C4CF37A" w14:textId="77777777" w:rsidR="00445B9F" w:rsidRPr="00445B9F" w:rsidRDefault="00445B9F" w:rsidP="00445B9F">
      <w:r w:rsidRPr="00445B9F">
        <w:t>ANNO 2025</w:t>
      </w:r>
    </w:p>
    <w:p w14:paraId="2C4CF37B" w14:textId="77777777" w:rsidR="00445B9F" w:rsidRPr="00445B9F" w:rsidRDefault="00445B9F" w:rsidP="00445B9F">
      <w:r w:rsidRPr="00445B9F">
        <w:br/>
        <w:t>REPUBBLICA ITALIANA</w:t>
      </w:r>
    </w:p>
    <w:p w14:paraId="2C4CF37C" w14:textId="77777777" w:rsidR="00445B9F" w:rsidRPr="00445B9F" w:rsidRDefault="00445B9F" w:rsidP="00445B9F">
      <w:r w:rsidRPr="00445B9F">
        <w:t>IN NOME DEL POPOLO ITALIANO</w:t>
      </w:r>
    </w:p>
    <w:p w14:paraId="2C4CF37D" w14:textId="77777777" w:rsidR="00445B9F" w:rsidRPr="00445B9F" w:rsidRDefault="00445B9F" w:rsidP="00445B9F">
      <w:r w:rsidRPr="00445B9F">
        <w:t>LA CORTE COSTITUZIONALE</w:t>
      </w:r>
    </w:p>
    <w:p w14:paraId="2C4CF37E" w14:textId="77777777" w:rsidR="00445B9F" w:rsidRPr="00445B9F" w:rsidRDefault="00445B9F" w:rsidP="00445B9F">
      <w:r w:rsidRPr="00445B9F">
        <w:t>composta da:</w:t>
      </w:r>
    </w:p>
    <w:p w14:paraId="2C4CF37F" w14:textId="77777777" w:rsidR="00445B9F" w:rsidRPr="00445B9F" w:rsidRDefault="00445B9F" w:rsidP="00445B9F">
      <w:r w:rsidRPr="00445B9F">
        <w:t>Presidente: Giovanni AMOROSO;</w:t>
      </w:r>
    </w:p>
    <w:p w14:paraId="2C4CF380" w14:textId="77777777" w:rsidR="00445B9F" w:rsidRPr="00445B9F" w:rsidRDefault="00445B9F" w:rsidP="00445B9F">
      <w:r w:rsidRPr="00445B9F">
        <w:t>Giudici: Francesco VIGANÒ, Luca ANTONINI, Stefano PETITTI, Angelo BUSCEMA, Emanuela NAVARRETTA, Maria Rosaria SAN GIORGIO, Marco D’ALBERTI, Giovanni PITRUZZELLA, Antonella SCIARRONE ALIBRANDI, Maria Alessandra SANDULLI, Roberto Nicola CASSINELLI, Francesco Saverio MARINI,</w:t>
      </w:r>
    </w:p>
    <w:p w14:paraId="2C4CF381" w14:textId="77777777" w:rsidR="00445B9F" w:rsidRPr="00445B9F" w:rsidRDefault="00445B9F" w:rsidP="00445B9F">
      <w:r w:rsidRPr="00445B9F">
        <w:t>ha pronunciato la seguente</w:t>
      </w:r>
    </w:p>
    <w:p w14:paraId="2C4CF382" w14:textId="77777777" w:rsidR="00445B9F" w:rsidRPr="00445B9F" w:rsidRDefault="00445B9F" w:rsidP="00445B9F">
      <w:r w:rsidRPr="00445B9F">
        <w:t>SENTENZA</w:t>
      </w:r>
    </w:p>
    <w:p w14:paraId="2C4CF3B3" w14:textId="77777777" w:rsidR="00445B9F" w:rsidRPr="00445B9F" w:rsidRDefault="00445B9F" w:rsidP="00491575">
      <w:pPr>
        <w:jc w:val="both"/>
      </w:pPr>
      <w:r w:rsidRPr="00445B9F">
        <w:br/>
      </w:r>
      <w:r w:rsidRPr="00445B9F">
        <w:rPr>
          <w:i/>
          <w:iCs/>
        </w:rPr>
        <w:t>Considerato in diritto</w:t>
      </w:r>
    </w:p>
    <w:p w14:paraId="2C4CF3B4" w14:textId="77777777" w:rsidR="00445B9F" w:rsidRPr="00491575" w:rsidRDefault="00445B9F" w:rsidP="00491575">
      <w:pPr>
        <w:jc w:val="both"/>
        <w:rPr>
          <w:b/>
          <w:bCs/>
        </w:rPr>
      </w:pPr>
      <w:r w:rsidRPr="00491575">
        <w:rPr>
          <w:b/>
          <w:bCs/>
        </w:rPr>
        <w:t xml:space="preserve">1.– La Regione autonoma Sardegna (reg. </w:t>
      </w:r>
      <w:proofErr w:type="spellStart"/>
      <w:r w:rsidRPr="00491575">
        <w:rPr>
          <w:b/>
          <w:bCs/>
        </w:rPr>
        <w:t>confl</w:t>
      </w:r>
      <w:proofErr w:type="spellEnd"/>
      <w:r w:rsidRPr="00491575">
        <w:rPr>
          <w:b/>
          <w:bCs/>
        </w:rPr>
        <w:t>. enti n. 5 del 2025) ha proposto conflitto di attribuzione nei confronti dello Stato (e, per esso, della Presidenza del Consiglio dei ministri), del Tribunale di Cagliari, in persona del presidente pro tempore, e del Ministero della giustizia, in persona del Ministro pro tempore, in relazione alla sentenza 28 maggio 2025, n. 848, con la quale il Tribunale di Cagliari ha respinto il ricorso che Alessandra Todde – proclamata eletta alla carica di Presidente della Regione autonoma della Sardegna, in esito alle consultazioni elettorali regionali del 25 febbraio 2024 – aveva presentato contro l’ordinanza-ingiunzione emessa, a suo carico, dal Collegio regionale di garanzia elettorale istituito presso la Corte d’appello di Cagliari.</w:t>
      </w:r>
    </w:p>
    <w:p w14:paraId="2C4CF3B5" w14:textId="77777777" w:rsidR="00445B9F" w:rsidRPr="00491575" w:rsidRDefault="00445B9F" w:rsidP="00491575">
      <w:pPr>
        <w:jc w:val="both"/>
        <w:rPr>
          <w:b/>
          <w:bCs/>
        </w:rPr>
      </w:pPr>
      <w:r w:rsidRPr="00491575">
        <w:rPr>
          <w:b/>
          <w:bCs/>
        </w:rPr>
        <w:t>La Regione ricorrente ritiene lese le proprie prerogative di livello costituzionale, concernenti la competenza del Consiglio regionale a dichiarare la decadenza dalle cariche elettive regionali, per effetto delle affermazioni contenute nella sentenza al punto 16, ove si legge che «l’accertamento della violazione delle norme in materia di spese elettorali», compiuto dal giudice civile, «rimane insindacabile dal Consiglio regionale, [quando] quest’ultimo assumerà le sue determinazioni sulla decadenza, tenendo fermo quanto accertato in questa sede».</w:t>
      </w:r>
    </w:p>
    <w:p w14:paraId="2C4CF3B6" w14:textId="77777777" w:rsidR="00445B9F" w:rsidRPr="00491575" w:rsidRDefault="00445B9F" w:rsidP="00491575">
      <w:pPr>
        <w:jc w:val="both"/>
        <w:rPr>
          <w:b/>
          <w:bCs/>
        </w:rPr>
      </w:pPr>
      <w:r w:rsidRPr="00491575">
        <w:rPr>
          <w:b/>
          <w:bCs/>
        </w:rPr>
        <w:t xml:space="preserve">In tal modo lo Stato avrebbe manifestato, «in modo inequivoco», </w:t>
      </w:r>
      <w:r w:rsidRPr="00491575">
        <w:rPr>
          <w:b/>
          <w:bCs/>
          <w:u w:val="single"/>
        </w:rPr>
        <w:t>la pretesa di vincolare l’organo consiliare a quanto accertato nella sentenza</w:t>
      </w:r>
      <w:r w:rsidRPr="00491575">
        <w:rPr>
          <w:b/>
          <w:bCs/>
        </w:rPr>
        <w:t xml:space="preserve">, indirizzandone l’attività ai fini di «comminare la sanzione della decadenza a carico del Presidente di Regione elettivo e di determinare con ciò l’automatico scioglimento del Consiglio regionale» mediante «il dispositivo del </w:t>
      </w:r>
      <w:proofErr w:type="spellStart"/>
      <w:r w:rsidRPr="00491575">
        <w:rPr>
          <w:b/>
          <w:bCs/>
        </w:rPr>
        <w:t>simul</w:t>
      </w:r>
      <w:proofErr w:type="spellEnd"/>
      <w:r w:rsidRPr="00491575">
        <w:rPr>
          <w:b/>
          <w:bCs/>
        </w:rPr>
        <w:t xml:space="preserve"> </w:t>
      </w:r>
      <w:proofErr w:type="spellStart"/>
      <w:r w:rsidRPr="00491575">
        <w:rPr>
          <w:b/>
          <w:bCs/>
        </w:rPr>
        <w:t>stabunt</w:t>
      </w:r>
      <w:proofErr w:type="spellEnd"/>
      <w:r w:rsidRPr="00491575">
        <w:rPr>
          <w:b/>
          <w:bCs/>
        </w:rPr>
        <w:t xml:space="preserve"> </w:t>
      </w:r>
      <w:proofErr w:type="spellStart"/>
      <w:r w:rsidRPr="00491575">
        <w:rPr>
          <w:b/>
          <w:bCs/>
        </w:rPr>
        <w:t>simul</w:t>
      </w:r>
      <w:proofErr w:type="spellEnd"/>
      <w:r w:rsidRPr="00491575">
        <w:rPr>
          <w:b/>
          <w:bCs/>
        </w:rPr>
        <w:t xml:space="preserve"> </w:t>
      </w:r>
      <w:proofErr w:type="spellStart"/>
      <w:r w:rsidRPr="00491575">
        <w:rPr>
          <w:b/>
          <w:bCs/>
        </w:rPr>
        <w:t>cadent</w:t>
      </w:r>
      <w:proofErr w:type="spellEnd"/>
      <w:r w:rsidRPr="00491575">
        <w:rPr>
          <w:b/>
          <w:bCs/>
        </w:rPr>
        <w:t>».</w:t>
      </w:r>
    </w:p>
    <w:p w14:paraId="2C4CF3B7" w14:textId="77777777" w:rsidR="00445B9F" w:rsidRPr="00491575" w:rsidRDefault="00445B9F" w:rsidP="00491575">
      <w:pPr>
        <w:jc w:val="both"/>
        <w:rPr>
          <w:b/>
          <w:bCs/>
        </w:rPr>
      </w:pPr>
      <w:r w:rsidRPr="00491575">
        <w:rPr>
          <w:b/>
          <w:bCs/>
        </w:rPr>
        <w:t xml:space="preserve">Simile pretesa sarebbe lesiva, anzitutto, degli artt. 24, secondo comma, e 111, primo e secondo comma, Cost., nonché dell’«art. 6 della C.E.D.U., in riferimento all’art. 117, primo comma, Cost.», i cui principi troverebbero «svolgimento nell’art. 2909 c.c.», che fissa la regola della cosa giudicata limitandone gli effetti alle sole parti del giudizio, ai loro eredi o aventi causa. La sentenza del Tribunale di Cagliari, resa </w:t>
      </w:r>
      <w:r w:rsidRPr="00491575">
        <w:rPr>
          <w:b/>
          <w:bCs/>
        </w:rPr>
        <w:lastRenderedPageBreak/>
        <w:t>nei confronti di Alessandra Todde e del Collegio regionale di garanzia elettorale, non potrebbe «intimare alcunché al Consiglio», non essendo stato, quest’ultimo, parte in causa.</w:t>
      </w:r>
    </w:p>
    <w:p w14:paraId="2C4CF3B8" w14:textId="77777777" w:rsidR="00445B9F" w:rsidRPr="00491575" w:rsidRDefault="00445B9F" w:rsidP="00491575">
      <w:pPr>
        <w:jc w:val="both"/>
        <w:rPr>
          <w:b/>
          <w:bCs/>
        </w:rPr>
      </w:pPr>
      <w:r w:rsidRPr="00491575">
        <w:rPr>
          <w:b/>
          <w:bCs/>
        </w:rPr>
        <w:t>Sotto altro profilo, il Tribunale avrebbe violato il «principio costituzionale di separazione tra amministrazione e giurisdizione», come risultante dal «combinato disposto degli artt. 24, secondo comma, 97, primo e secondo comma [</w:t>
      </w:r>
      <w:proofErr w:type="spellStart"/>
      <w:r w:rsidRPr="00491575">
        <w:rPr>
          <w:b/>
          <w:bCs/>
        </w:rPr>
        <w:t>recte</w:t>
      </w:r>
      <w:proofErr w:type="spellEnd"/>
      <w:r w:rsidRPr="00491575">
        <w:rPr>
          <w:b/>
          <w:bCs/>
        </w:rPr>
        <w:t>: secondo e terzo comma], 102, primo comma, 104, primo comma, e 113, ultimo comma, della Costituzione»: ciò, sulla premessa secondo cui le attività consiliari di accertamento e di qualificazione giuridica dei fatti idonei a determinare la decadenza dei consiglieri regionali avrebbero «natura propriamente amministrativa». L’attività amministrativa dovrebbe rimanere separata da quella giurisdizionale, affinché quest’ultima non invada l’ambito riservato alla prima. Invece, il Tribunale di Cagliari, mediante i contestati passaggi del punto 16 della sentenza, avrebbe finito per dettare le linee dell’indirizzo amministrativo regionale, con ciò interferendo nell’attività di spettanza del Consiglio regionale.</w:t>
      </w:r>
    </w:p>
    <w:p w14:paraId="2C4CF3B9" w14:textId="77777777" w:rsidR="00445B9F" w:rsidRPr="00491575" w:rsidRDefault="00445B9F" w:rsidP="00491575">
      <w:pPr>
        <w:jc w:val="both"/>
        <w:rPr>
          <w:b/>
          <w:bCs/>
        </w:rPr>
      </w:pPr>
      <w:r w:rsidRPr="00491575">
        <w:rPr>
          <w:b/>
          <w:bCs/>
        </w:rPr>
        <w:t xml:space="preserve">Sarebbero lesi, inoltre, l’art. 15 statuto speciale, nella parte in cui riserva al legislatore regionale la disciplina dei casi di ineleggibilità, e l’art. 19 dello stesso statuto, che stabilisce la competenza del Consiglio regionale </w:t>
      </w:r>
      <w:proofErr w:type="gramStart"/>
      <w:r w:rsidRPr="00491575">
        <w:rPr>
          <w:b/>
          <w:bCs/>
        </w:rPr>
        <w:t>ad</w:t>
      </w:r>
      <w:proofErr w:type="gramEnd"/>
      <w:r w:rsidRPr="00491575">
        <w:rPr>
          <w:b/>
          <w:bCs/>
        </w:rPr>
        <w:t xml:space="preserve"> adottare il proprio regolamento interno. Dall’art. 17 di quest’ultimo (che disciplina, tra l’altro, le competenze consiliari in ordine all’esame delle cause di ineleggibilità e di incompatibilità) si dovrebbe desumere che «le attività giuntali e assembleari di esame e proposta debbono svolgersi in maniera "libera”, ossia procedendo ad autonome valutazioni dei fatti e della loro qualificazione giuridica».</w:t>
      </w:r>
    </w:p>
    <w:p w14:paraId="2C4CF3BA" w14:textId="77777777" w:rsidR="00445B9F" w:rsidRPr="00491575" w:rsidRDefault="00445B9F" w:rsidP="00491575">
      <w:pPr>
        <w:jc w:val="both"/>
        <w:rPr>
          <w:b/>
          <w:bCs/>
        </w:rPr>
      </w:pPr>
      <w:r w:rsidRPr="00491575">
        <w:rPr>
          <w:b/>
          <w:bCs/>
        </w:rPr>
        <w:t>Il Tribunale di Cagliari avrebbe, ancora, violato l’art. 6 del d.P.R. n. 250 del 1949, che reca le norme di attuazione dello statuto speciale. Tale parametro, pur espressamente riferito ai casi di incompatibilità, confermerebbe la competenza consiliare nella materia delle ineleggibilità «tenuto conto che "il più contiene il meno”».</w:t>
      </w:r>
    </w:p>
    <w:p w14:paraId="2C4CF3BB" w14:textId="77777777" w:rsidR="00445B9F" w:rsidRPr="00491575" w:rsidRDefault="00445B9F" w:rsidP="00491575">
      <w:pPr>
        <w:jc w:val="both"/>
        <w:rPr>
          <w:b/>
          <w:bCs/>
        </w:rPr>
      </w:pPr>
      <w:r w:rsidRPr="00491575">
        <w:rPr>
          <w:b/>
          <w:bCs/>
        </w:rPr>
        <w:t xml:space="preserve">In via subordinata, la Regione ricorrente deduce la non spettanza allo Stato – «sotto un diverso profilo» – del potere di vincolare le decisioni del Consiglio regionale sardo «in materia di decadenza della Dr.ssa Alessandra Todde, Presidente e componente del Consiglio regionale a quanto deciso dal Tribunale di Cagliari con la sentenza n. 848 del 2025». La lesione delle competenze costituzionali di essa ricorrente deriverebbe anche dal contenuto dell’accertamento compiuto dal Tribunale, in quanto basato su una serie di presupposti interpretativi erronei, afferenti alla normativa applicabile al caso di specie. In particolare, la Regione autonoma sostiene che – contrariamente a quanto ritenuto dal Tribunale di Cagliari – la legge reg. Sardegna n. 1 del 1994 non sarebbe ormai più applicabile, in quanto superata dalla nuova forma di governo regionale imperniata sull’elezione diretta, a suffragio universale, del Presidente della Regione. Né la sentenza avrebbe correttamente colto il significato del rinvio alle leggi statali, di cui all’art. 22, comma 2, della legge </w:t>
      </w:r>
      <w:proofErr w:type="spellStart"/>
      <w:r w:rsidRPr="00491575">
        <w:rPr>
          <w:b/>
          <w:bCs/>
        </w:rPr>
        <w:t>statut</w:t>
      </w:r>
      <w:proofErr w:type="spellEnd"/>
      <w:r w:rsidRPr="00491575">
        <w:rPr>
          <w:b/>
          <w:bCs/>
        </w:rPr>
        <w:t>. n. 1 del 2013, tale da far venire in rilievo l’art. 20 della legge n. 515 del 1993: quest’ultima disposizione, osserva la Regione, espressamente esclude, per le elezioni regionali, l’applicabilità degli artt. 7 e 15 della medesima legge n. 515 del 1993, ossia delle norme applicate dal Collegio regionale di garanzia elettorale per muovere le contestazioni ad Alessandra Todde. Il ragionamento svolto dal Tribunale, d’altro canto, non avrebbe tenuto conto della «specificità del sistema elettorale» per l’elezione alla presidenza della Regione, caratterizzato da regole diverse da quelle vigenti per l’elezione dei consiglieri regionali, né avrebbe considerato l’automatica operatività del meccanismo del "</w:t>
      </w:r>
      <w:proofErr w:type="spellStart"/>
      <w:r w:rsidRPr="00491575">
        <w:rPr>
          <w:b/>
          <w:bCs/>
        </w:rPr>
        <w:t>simul</w:t>
      </w:r>
      <w:proofErr w:type="spellEnd"/>
      <w:r w:rsidRPr="00491575">
        <w:rPr>
          <w:b/>
          <w:bCs/>
        </w:rPr>
        <w:t xml:space="preserve"> </w:t>
      </w:r>
      <w:proofErr w:type="spellStart"/>
      <w:r w:rsidRPr="00491575">
        <w:rPr>
          <w:b/>
          <w:bCs/>
        </w:rPr>
        <w:t>stabunt</w:t>
      </w:r>
      <w:proofErr w:type="spellEnd"/>
      <w:r w:rsidRPr="00491575">
        <w:rPr>
          <w:b/>
          <w:bCs/>
        </w:rPr>
        <w:t xml:space="preserve">, </w:t>
      </w:r>
      <w:proofErr w:type="spellStart"/>
      <w:r w:rsidRPr="00491575">
        <w:rPr>
          <w:b/>
          <w:bCs/>
        </w:rPr>
        <w:t>simul</w:t>
      </w:r>
      <w:proofErr w:type="spellEnd"/>
      <w:r w:rsidRPr="00491575">
        <w:rPr>
          <w:b/>
          <w:bCs/>
        </w:rPr>
        <w:t xml:space="preserve"> </w:t>
      </w:r>
      <w:proofErr w:type="spellStart"/>
      <w:r w:rsidRPr="00491575">
        <w:rPr>
          <w:b/>
          <w:bCs/>
        </w:rPr>
        <w:t>cadent</w:t>
      </w:r>
      <w:proofErr w:type="spellEnd"/>
      <w:r w:rsidRPr="00491575">
        <w:rPr>
          <w:b/>
          <w:bCs/>
        </w:rPr>
        <w:t>”, di cui agli artt. 15 e 35 dello statuto di autonomia, secondo il quale le vicende che determinano l’interruzione del mandato di un organo producono automaticamente il venir meno pure dell’altro: meccanismo che il Tribunale di Cagliari non potrebbe azionare.</w:t>
      </w:r>
    </w:p>
    <w:p w14:paraId="2C4CF3BC" w14:textId="77777777" w:rsidR="00445B9F" w:rsidRPr="00491575" w:rsidRDefault="00445B9F" w:rsidP="00491575">
      <w:pPr>
        <w:jc w:val="both"/>
        <w:rPr>
          <w:b/>
          <w:bCs/>
        </w:rPr>
      </w:pPr>
      <w:r w:rsidRPr="00491575">
        <w:rPr>
          <w:b/>
          <w:bCs/>
        </w:rPr>
        <w:lastRenderedPageBreak/>
        <w:t xml:space="preserve">2.– La difesa dello Stato ha eccepito l’inammissibilità del ricorso per essersi limitata la Regione autonoma a censurare meri </w:t>
      </w:r>
      <w:proofErr w:type="spellStart"/>
      <w:r w:rsidRPr="00491575">
        <w:rPr>
          <w:b/>
          <w:bCs/>
        </w:rPr>
        <w:t>errores</w:t>
      </w:r>
      <w:proofErr w:type="spellEnd"/>
      <w:r w:rsidRPr="00491575">
        <w:rPr>
          <w:b/>
          <w:bCs/>
        </w:rPr>
        <w:t xml:space="preserve"> in iudicando della sentenza del Tribunale di Cagliari.</w:t>
      </w:r>
    </w:p>
    <w:p w14:paraId="2C4CF3BD" w14:textId="77777777" w:rsidR="00445B9F" w:rsidRPr="00491575" w:rsidRDefault="00445B9F" w:rsidP="00491575">
      <w:pPr>
        <w:jc w:val="both"/>
        <w:rPr>
          <w:b/>
          <w:bCs/>
        </w:rPr>
      </w:pPr>
      <w:r w:rsidRPr="00491575">
        <w:rPr>
          <w:b/>
          <w:bCs/>
        </w:rPr>
        <w:t>3.– Ma, in disparte la considerazione che il Ministro della giustizia non può, in linea di principio, essere parte di un conflitto tra Stato e regioni (vedi </w:t>
      </w:r>
      <w:hyperlink r:id="rId4" w:history="1">
        <w:r w:rsidRPr="00491575">
          <w:rPr>
            <w:rStyle w:val="Collegamentoipertestuale"/>
            <w:b/>
            <w:bCs/>
          </w:rPr>
          <w:t>sentenza n. 148 in pari data)</w:t>
        </w:r>
      </w:hyperlink>
      <w:r w:rsidRPr="00491575">
        <w:rPr>
          <w:b/>
          <w:bCs/>
        </w:rPr>
        <w:t xml:space="preserve">, vi è un profilo di inammissibilità il cui esame costituisce un </w:t>
      </w:r>
      <w:proofErr w:type="spellStart"/>
      <w:r w:rsidRPr="00491575">
        <w:rPr>
          <w:b/>
          <w:bCs/>
        </w:rPr>
        <w:t>prius</w:t>
      </w:r>
      <w:proofErr w:type="spellEnd"/>
      <w:r w:rsidRPr="00491575">
        <w:rPr>
          <w:b/>
          <w:bCs/>
        </w:rPr>
        <w:t xml:space="preserve"> logico rispetto alla predetta eccezione sollevata dall’Avvocatura generale dello Stato.</w:t>
      </w:r>
    </w:p>
    <w:p w14:paraId="2C4CF3BE" w14:textId="77777777" w:rsidR="00445B9F" w:rsidRPr="00491575" w:rsidRDefault="00445B9F" w:rsidP="00491575">
      <w:pPr>
        <w:jc w:val="both"/>
        <w:rPr>
          <w:b/>
          <w:bCs/>
        </w:rPr>
      </w:pPr>
      <w:r w:rsidRPr="00491575">
        <w:rPr>
          <w:b/>
          <w:bCs/>
        </w:rPr>
        <w:t>3.1.– Va premesso che questa Corte, con la citata </w:t>
      </w:r>
      <w:hyperlink r:id="rId5" w:history="1">
        <w:r w:rsidRPr="00491575">
          <w:rPr>
            <w:rStyle w:val="Collegamentoipertestuale"/>
            <w:b/>
            <w:bCs/>
          </w:rPr>
          <w:t>sentenza n. 148 del 2025</w:t>
        </w:r>
      </w:hyperlink>
      <w:r w:rsidRPr="00491575">
        <w:rPr>
          <w:b/>
          <w:bCs/>
        </w:rPr>
        <w:t xml:space="preserve">, ha accolto il ricorso per conflitto di attribuzione tra enti promosso dalla Regione autonoma della Sardegna e avente ad oggetto l’ordinanza-ingiunzione del 20 dicembre 2024, emessa dal Collegio regionale di garanzia elettorale istituito presso la Corte d’appello di Cagliari. Questa Corte ha dichiarato che </w:t>
      </w:r>
      <w:r w:rsidRPr="00491575">
        <w:rPr>
          <w:b/>
          <w:bCs/>
          <w:u w:val="single"/>
        </w:rPr>
        <w:t>non spettava allo Stato e, per esso, al Collegio regionale di garanzia elettorale, di affermare, nella motivazione della citata ordinanza-ingiunzione, che «si impone la decadenza dalla carica del candidato eletto</w:t>
      </w:r>
      <w:r w:rsidRPr="00491575">
        <w:rPr>
          <w:b/>
          <w:bCs/>
        </w:rPr>
        <w:t>» e, per l’effetto, di disporre «la trasmissione della presente ordinanza/ingiunzione al Presidente del Consiglio Regionale per quanto di Sua competenza in ordine all’adozione del provvedimento di decadenza di Todde Alessandra dalla carica di Presidente della Regione Sardegna».</w:t>
      </w:r>
    </w:p>
    <w:p w14:paraId="2C4CF3BF" w14:textId="77777777" w:rsidR="00445B9F" w:rsidRPr="00491575" w:rsidRDefault="00445B9F" w:rsidP="00491575">
      <w:pPr>
        <w:jc w:val="both"/>
        <w:rPr>
          <w:b/>
          <w:bCs/>
        </w:rPr>
      </w:pPr>
      <w:r w:rsidRPr="00491575">
        <w:rPr>
          <w:b/>
          <w:bCs/>
        </w:rPr>
        <w:t>L’ordinanza-ingiunzione – da intendersi quindi depurata di questo contenuto, che ridondava in una turbativa dell’autonomia regionale costituzionalmente protetta – è stata confermata dal Tribunale di Cagliari quanto alla sanzione pecuniaria irrogata ad Alessandra Todde, ricorrente avverso la stessa.</w:t>
      </w:r>
    </w:p>
    <w:p w14:paraId="2C4CF3C0" w14:textId="77777777" w:rsidR="00445B9F" w:rsidRPr="00E11CF9" w:rsidRDefault="00445B9F" w:rsidP="00491575">
      <w:pPr>
        <w:jc w:val="both"/>
        <w:rPr>
          <w:b/>
          <w:bCs/>
        </w:rPr>
      </w:pPr>
      <w:r w:rsidRPr="00491575">
        <w:rPr>
          <w:b/>
          <w:bCs/>
        </w:rPr>
        <w:t xml:space="preserve">3.2.– Deve allora considerarsi che il giudizio civile deciso dal Tribunale di Cagliari è stato introdotto </w:t>
      </w:r>
      <w:r w:rsidRPr="00491575">
        <w:rPr>
          <w:b/>
          <w:bCs/>
          <w:u w:val="single"/>
        </w:rPr>
        <w:t>da Alessandra Todde personalment</w:t>
      </w:r>
      <w:r w:rsidRPr="00491575">
        <w:rPr>
          <w:b/>
          <w:bCs/>
        </w:rPr>
        <w:t xml:space="preserve">e, in quanto destinataria delle sanzioni irrogate con l’ordinanza-ingiunzione del 20 dicembre 2024, nei confronti dell’organo amministrativo che l’ha emessa (il Collegio regionale di garanzia elettorale). </w:t>
      </w:r>
      <w:r w:rsidRPr="00E11CF9">
        <w:rPr>
          <w:b/>
          <w:bCs/>
        </w:rPr>
        <w:t xml:space="preserve">Rispetto a tale controversia, e al relativo </w:t>
      </w:r>
      <w:proofErr w:type="spellStart"/>
      <w:r w:rsidRPr="00E11CF9">
        <w:rPr>
          <w:b/>
          <w:bCs/>
        </w:rPr>
        <w:t>thema</w:t>
      </w:r>
      <w:proofErr w:type="spellEnd"/>
      <w:r w:rsidRPr="00E11CF9">
        <w:rPr>
          <w:b/>
          <w:bCs/>
        </w:rPr>
        <w:t xml:space="preserve"> </w:t>
      </w:r>
      <w:proofErr w:type="spellStart"/>
      <w:r w:rsidRPr="00E11CF9">
        <w:rPr>
          <w:b/>
          <w:bCs/>
        </w:rPr>
        <w:t>decidendum</w:t>
      </w:r>
      <w:proofErr w:type="spellEnd"/>
      <w:r w:rsidRPr="00E11CF9">
        <w:rPr>
          <w:b/>
          <w:bCs/>
        </w:rPr>
        <w:t xml:space="preserve">, </w:t>
      </w:r>
      <w:r w:rsidRPr="00E11CF9">
        <w:rPr>
          <w:b/>
          <w:bCs/>
          <w:u w:val="single"/>
        </w:rPr>
        <w:t>l’organo consiliare è rimasto estraneo</w:t>
      </w:r>
      <w:r w:rsidRPr="00E11CF9">
        <w:rPr>
          <w:b/>
          <w:bCs/>
        </w:rPr>
        <w:t xml:space="preserve"> e, pertanto, esso </w:t>
      </w:r>
      <w:r w:rsidRPr="00E11CF9">
        <w:rPr>
          <w:b/>
          <w:bCs/>
          <w:color w:val="EE0000"/>
        </w:rPr>
        <w:t>non è vincolato dalle affermazioni compiute dal giudicante al punto 16 della motivazione</w:t>
      </w:r>
      <w:r w:rsidRPr="00E11CF9">
        <w:rPr>
          <w:b/>
          <w:bCs/>
        </w:rPr>
        <w:t>, oggetto delle censure mosse, in questa sede, dalla Regione autonoma della Sardegna.</w:t>
      </w:r>
    </w:p>
    <w:p w14:paraId="2C4CF3C1" w14:textId="77777777" w:rsidR="00445B9F" w:rsidRPr="00491575" w:rsidRDefault="00445B9F" w:rsidP="00491575">
      <w:pPr>
        <w:jc w:val="both"/>
        <w:rPr>
          <w:b/>
          <w:bCs/>
        </w:rPr>
      </w:pPr>
      <w:r w:rsidRPr="00491575">
        <w:rPr>
          <w:b/>
          <w:bCs/>
        </w:rPr>
        <w:t xml:space="preserve">Il requisito dell’attualità della lesione lamentata costituisce un presupposto di ammissibilità del conflitto di attribuzione tra Stato e regioni, anche qualora il provvedimento impugnato sia rappresentato da un atto giurisdizionale. Per costante giurisprudenza di questa Corte, riferita a tale ipotesi, «costituisce atto idoneo a innescare un conflitto intersoggettivo di attribuzione qualsiasi comportamento significante, imputabile allo Stato o alla Regione, che sia dotato di efficacia e rilevanza esterna e che – anche se preparatorio o non definitivo – </w:t>
      </w:r>
      <w:r w:rsidRPr="00491575">
        <w:rPr>
          <w:b/>
          <w:bCs/>
          <w:u w:val="single"/>
        </w:rPr>
        <w:t>sia comunque diretto ad esprimere in modo chiaro ed inequivoco la pretesa di esercitare una data competenza</w:t>
      </w:r>
      <w:r w:rsidRPr="00491575">
        <w:rPr>
          <w:b/>
          <w:bCs/>
        </w:rPr>
        <w:t xml:space="preserve">, il cui svolgimento possa determinare una invasione nella altrui sfera di attribuzioni o, comunque, una menomazione altrettanto attuale delle possibilità di esercizio della medesima» (ex </w:t>
      </w:r>
      <w:proofErr w:type="spellStart"/>
      <w:r w:rsidRPr="00491575">
        <w:rPr>
          <w:b/>
          <w:bCs/>
        </w:rPr>
        <w:t>plurimis</w:t>
      </w:r>
      <w:proofErr w:type="spellEnd"/>
      <w:r w:rsidRPr="00491575">
        <w:rPr>
          <w:b/>
          <w:bCs/>
        </w:rPr>
        <w:t>, </w:t>
      </w:r>
      <w:hyperlink r:id="rId6" w:history="1">
        <w:r w:rsidRPr="00491575">
          <w:rPr>
            <w:rStyle w:val="Collegamentoipertestuale"/>
            <w:b/>
            <w:bCs/>
          </w:rPr>
          <w:t>sentenza n. 332 del 2011</w:t>
        </w:r>
      </w:hyperlink>
      <w:r w:rsidRPr="00491575">
        <w:rPr>
          <w:b/>
          <w:bCs/>
        </w:rPr>
        <w:t>; nello stesso senso </w:t>
      </w:r>
      <w:hyperlink r:id="rId7" w:history="1">
        <w:r w:rsidRPr="00491575">
          <w:rPr>
            <w:rStyle w:val="Collegamentoipertestuale"/>
            <w:b/>
            <w:bCs/>
          </w:rPr>
          <w:t>sentenza n. 90 del 2022</w:t>
        </w:r>
      </w:hyperlink>
      <w:r w:rsidRPr="00491575">
        <w:rPr>
          <w:b/>
          <w:bCs/>
        </w:rPr>
        <w:t>). Deve trattarsi, quindi, di un atto che «concretamente trascuri la prerogativa di cui si discute» (così, ancora, </w:t>
      </w:r>
      <w:hyperlink r:id="rId8" w:history="1">
        <w:r w:rsidRPr="00491575">
          <w:rPr>
            <w:rStyle w:val="Collegamentoipertestuale"/>
            <w:b/>
            <w:bCs/>
          </w:rPr>
          <w:t>sentenza n. 332 del 2011</w:t>
        </w:r>
      </w:hyperlink>
      <w:r w:rsidRPr="00491575">
        <w:rPr>
          <w:b/>
          <w:bCs/>
        </w:rPr>
        <w:t xml:space="preserve">). Ciò, nel solco di quanto questa Corte afferma, in generale, per tutti i conflitti di attribuzione tra Stato e regioni, che parimenti richiedono il requisito dell’attualità della lesione, da ritenersi non soddisfatto allorché l’atto sia privo di efficacia vincolante per la parte che lo ha impugnato (ex </w:t>
      </w:r>
      <w:proofErr w:type="spellStart"/>
      <w:r w:rsidRPr="00491575">
        <w:rPr>
          <w:b/>
          <w:bCs/>
        </w:rPr>
        <w:t>plurimis</w:t>
      </w:r>
      <w:proofErr w:type="spellEnd"/>
      <w:r w:rsidRPr="00491575">
        <w:rPr>
          <w:b/>
          <w:bCs/>
        </w:rPr>
        <w:t>, in tal senso, sentenze </w:t>
      </w:r>
      <w:hyperlink r:id="rId9" w:history="1">
        <w:r w:rsidRPr="00491575">
          <w:rPr>
            <w:rStyle w:val="Collegamentoipertestuale"/>
            <w:b/>
            <w:bCs/>
          </w:rPr>
          <w:t>n. 340 del 2011</w:t>
        </w:r>
      </w:hyperlink>
      <w:r w:rsidRPr="00491575">
        <w:rPr>
          <w:b/>
          <w:bCs/>
        </w:rPr>
        <w:t> e </w:t>
      </w:r>
      <w:hyperlink r:id="rId10" w:history="1">
        <w:r w:rsidRPr="00491575">
          <w:rPr>
            <w:rStyle w:val="Collegamentoipertestuale"/>
            <w:b/>
            <w:bCs/>
          </w:rPr>
          <w:t>n. 211 del 1994</w:t>
        </w:r>
      </w:hyperlink>
      <w:r w:rsidRPr="00491575">
        <w:rPr>
          <w:b/>
          <w:bCs/>
        </w:rPr>
        <w:t>).</w:t>
      </w:r>
    </w:p>
    <w:p w14:paraId="2C4CF3C2" w14:textId="77777777" w:rsidR="00445B9F" w:rsidRPr="00491575" w:rsidRDefault="00445B9F" w:rsidP="00491575">
      <w:pPr>
        <w:jc w:val="both"/>
        <w:rPr>
          <w:b/>
          <w:bCs/>
        </w:rPr>
      </w:pPr>
      <w:r w:rsidRPr="00491575">
        <w:rPr>
          <w:b/>
          <w:bCs/>
        </w:rPr>
        <w:t xml:space="preserve">3.3.– Nel caso di specie viene per l’appunto a mancare il requisito dell’attualità della lesione lamentata. La sentenza del Tribunale di Cagliari si è infatti pronunciata sulla domanda di Alessandra Todde, accertandone la non fondatezza. Tale pronuncia </w:t>
      </w:r>
      <w:r w:rsidRPr="00944991">
        <w:rPr>
          <w:b/>
          <w:bCs/>
          <w:u w:val="single"/>
        </w:rPr>
        <w:t xml:space="preserve">si riferisce specificamente al segmento procedimentale </w:t>
      </w:r>
      <w:r w:rsidRPr="00944991">
        <w:rPr>
          <w:b/>
          <w:bCs/>
          <w:u w:val="single"/>
        </w:rPr>
        <w:lastRenderedPageBreak/>
        <w:t>che si è svolto dinanzi all’organo amministrativo statale di controllo</w:t>
      </w:r>
      <w:r w:rsidRPr="00491575">
        <w:rPr>
          <w:b/>
          <w:bCs/>
        </w:rPr>
        <w:t xml:space="preserve">, il Collegio regionale di garanzia elettorale istituito presso la Corte d’appello di Cagliari, avente ad oggetto – come pacificamente emerge dalla legge n. 515 del 1993 (art. 15, comma 7) – </w:t>
      </w:r>
      <w:r w:rsidRPr="00491575">
        <w:rPr>
          <w:b/>
          <w:bCs/>
          <w:u w:val="single"/>
        </w:rPr>
        <w:t>l’accertamento delle violazioni</w:t>
      </w:r>
      <w:r w:rsidRPr="00491575">
        <w:rPr>
          <w:b/>
          <w:bCs/>
        </w:rPr>
        <w:t xml:space="preserve">, da parte del soggetto candidato, delle norme che disciplinano le spese della campagna elettorale. </w:t>
      </w:r>
      <w:r w:rsidRPr="00E11CF9">
        <w:rPr>
          <w:b/>
          <w:bCs/>
          <w:u w:val="single"/>
        </w:rPr>
        <w:t>Non sono interessati altri segmenti procedimentali, rimessi dalla legge alla competenza di organi amministrativi diversi, incardinati presso enti diversi (la regione)</w:t>
      </w:r>
      <w:r w:rsidRPr="00491575">
        <w:rPr>
          <w:b/>
          <w:bCs/>
        </w:rPr>
        <w:t xml:space="preserve">. Non è rinvenibile alcun nesso di pregiudizialità e/o di dipendenza idoneo </w:t>
      </w:r>
      <w:r w:rsidRPr="00E11CF9">
        <w:rPr>
          <w:b/>
          <w:bCs/>
          <w:u w:val="single"/>
        </w:rPr>
        <w:t>a legare le affermazioni contenute in sentenza e i poteri del Consiglio regionale</w:t>
      </w:r>
      <w:r w:rsidRPr="00491575">
        <w:rPr>
          <w:b/>
          <w:bCs/>
        </w:rPr>
        <w:t>, il quale – è bene ricordare – non si è mai ancora formalmente pronunciato sulla vicenda de qua.</w:t>
      </w:r>
    </w:p>
    <w:p w14:paraId="2C4CF3C3" w14:textId="31134711" w:rsidR="00445B9F" w:rsidRPr="00124751" w:rsidRDefault="00445B9F" w:rsidP="00491575">
      <w:pPr>
        <w:jc w:val="both"/>
        <w:rPr>
          <w:b/>
          <w:bCs/>
        </w:rPr>
      </w:pPr>
      <w:r w:rsidRPr="00124751">
        <w:rPr>
          <w:b/>
          <w:bCs/>
        </w:rPr>
        <w:t xml:space="preserve">Le contestate affermazioni di cui al punto 16 della sentenza del Tribunale di Cagliari, pur oggettivamente dirette nei confronti del Consiglio regionale, devono pertanto essere considerate alla stregua di un obiter dictum, in quanto </w:t>
      </w:r>
      <w:r w:rsidRPr="00124751">
        <w:rPr>
          <w:b/>
          <w:bCs/>
          <w:u w:val="single"/>
        </w:rPr>
        <w:t>prive di carattere decisorio</w:t>
      </w:r>
      <w:r w:rsidRPr="00124751">
        <w:rPr>
          <w:b/>
          <w:bCs/>
        </w:rPr>
        <w:t xml:space="preserve">. Esse, infatti, </w:t>
      </w:r>
      <w:r w:rsidRPr="00E11CF9">
        <w:rPr>
          <w:b/>
          <w:bCs/>
          <w:color w:val="EE0000"/>
          <w:u w:val="single"/>
        </w:rPr>
        <w:t xml:space="preserve">vanno oltre il </w:t>
      </w:r>
      <w:proofErr w:type="spellStart"/>
      <w:r w:rsidRPr="00E11CF9">
        <w:rPr>
          <w:b/>
          <w:bCs/>
          <w:color w:val="EE0000"/>
          <w:u w:val="single"/>
        </w:rPr>
        <w:t>thema</w:t>
      </w:r>
      <w:proofErr w:type="spellEnd"/>
      <w:r w:rsidRPr="00E11CF9">
        <w:rPr>
          <w:b/>
          <w:bCs/>
          <w:color w:val="EE0000"/>
          <w:u w:val="single"/>
        </w:rPr>
        <w:t xml:space="preserve"> </w:t>
      </w:r>
      <w:proofErr w:type="spellStart"/>
      <w:r w:rsidRPr="00E11CF9">
        <w:rPr>
          <w:b/>
          <w:bCs/>
          <w:color w:val="EE0000"/>
          <w:u w:val="single"/>
        </w:rPr>
        <w:t>decidendum</w:t>
      </w:r>
      <w:proofErr w:type="spellEnd"/>
      <w:r w:rsidRPr="00E11CF9">
        <w:rPr>
          <w:b/>
          <w:bCs/>
          <w:color w:val="EE0000"/>
          <w:u w:val="single"/>
        </w:rPr>
        <w:t xml:space="preserve"> </w:t>
      </w:r>
      <w:r w:rsidRPr="00124751">
        <w:rPr>
          <w:b/>
          <w:bCs/>
          <w:u w:val="single"/>
        </w:rPr>
        <w:t>(come delineato dalla domanda giudiziale</w:t>
      </w:r>
      <w:r w:rsidRPr="00124751">
        <w:rPr>
          <w:b/>
          <w:bCs/>
        </w:rPr>
        <w:t xml:space="preserve">) e </w:t>
      </w:r>
      <w:r w:rsidRPr="00E11CF9">
        <w:rPr>
          <w:b/>
          <w:bCs/>
          <w:color w:val="EE0000"/>
          <w:u w:val="single"/>
        </w:rPr>
        <w:t>non esercitano alcuna influenza sul dispositivo della decisione</w:t>
      </w:r>
      <w:r w:rsidRPr="00124751">
        <w:rPr>
          <w:b/>
          <w:bCs/>
        </w:rPr>
        <w:t xml:space="preserve">, </w:t>
      </w:r>
      <w:r w:rsidRPr="00124751">
        <w:rPr>
          <w:b/>
          <w:bCs/>
          <w:u w:val="single"/>
        </w:rPr>
        <w:t>né sono idonee a passare in giudicato o a formare oggetto di impugnazione</w:t>
      </w:r>
      <w:r w:rsidRPr="00124751">
        <w:rPr>
          <w:b/>
          <w:bCs/>
        </w:rPr>
        <w:t xml:space="preserve"> (in tal senso, tra le tante, Corte di cassazione, sezione seconda civile, ordinanza 3 ottobre 2019, n. 24722; quanto al giudizio amministrativo, analogamente, ex </w:t>
      </w:r>
      <w:proofErr w:type="spellStart"/>
      <w:r w:rsidRPr="00124751">
        <w:rPr>
          <w:b/>
          <w:bCs/>
        </w:rPr>
        <w:t>plurimis</w:t>
      </w:r>
      <w:proofErr w:type="spellEnd"/>
      <w:r w:rsidRPr="00124751">
        <w:rPr>
          <w:b/>
          <w:bCs/>
        </w:rPr>
        <w:t>, Consiglio di Stato, sezione terza giurisdizionale, sentenza 3 marzo 2023, n. 2246).</w:t>
      </w:r>
      <w:r w:rsidR="00E11CF9">
        <w:rPr>
          <w:b/>
          <w:bCs/>
        </w:rPr>
        <w:t xml:space="preserve"> </w:t>
      </w:r>
    </w:p>
    <w:p w14:paraId="2C4CF3C4" w14:textId="77777777" w:rsidR="00445B9F" w:rsidRPr="00124751" w:rsidRDefault="00445B9F" w:rsidP="00491575">
      <w:pPr>
        <w:jc w:val="both"/>
        <w:rPr>
          <w:b/>
          <w:bCs/>
        </w:rPr>
      </w:pPr>
      <w:r w:rsidRPr="00445B9F">
        <w:t>3</w:t>
      </w:r>
      <w:r w:rsidRPr="00124751">
        <w:rPr>
          <w:b/>
          <w:bCs/>
        </w:rPr>
        <w:t xml:space="preserve">.4.– Deve dunque concludersi che le affermazioni del Tribunale di Cagliari contestate dalla Regione ricorrente </w:t>
      </w:r>
      <w:r w:rsidRPr="00124751">
        <w:rPr>
          <w:b/>
          <w:bCs/>
          <w:u w:val="single"/>
        </w:rPr>
        <w:t>non determinano una lesione attuale della sfera di attribuzione della stessa</w:t>
      </w:r>
      <w:r w:rsidRPr="00124751">
        <w:rPr>
          <w:b/>
          <w:bCs/>
        </w:rPr>
        <w:t xml:space="preserve">, in quanto fanno riferimento ad una fase del procedimento per la dichiarazione di decadenza di Alessandra Todde dalla carica di Presidente della Regione Sardegna </w:t>
      </w:r>
      <w:r w:rsidRPr="004F02EE">
        <w:rPr>
          <w:b/>
          <w:bCs/>
          <w:u w:val="single"/>
        </w:rPr>
        <w:t>del tutto estranea alla materia del contendere</w:t>
      </w:r>
      <w:r w:rsidRPr="00124751">
        <w:rPr>
          <w:b/>
          <w:bCs/>
        </w:rPr>
        <w:t xml:space="preserve"> nel giudizio innanzi allo stesso Tribunale, che aveva ad oggetto l’ordinanza del Collegio di garanzia elettorale. Il che comporta la carenza originaria di interesse a coltivare il presente ricorso, con conseguente sua inammissibilità.</w:t>
      </w:r>
    </w:p>
    <w:p w14:paraId="2C4CF3C5" w14:textId="77777777" w:rsidR="00445B9F" w:rsidRPr="00124751" w:rsidRDefault="00445B9F" w:rsidP="00491575">
      <w:pPr>
        <w:jc w:val="both"/>
        <w:rPr>
          <w:b/>
          <w:bCs/>
        </w:rPr>
      </w:pPr>
      <w:r w:rsidRPr="00124751">
        <w:rPr>
          <w:b/>
          <w:bCs/>
        </w:rPr>
        <w:t>4.– Il ricorso per conflitto di attribuzione deve pertanto essere dichiarato inammissibile.</w:t>
      </w:r>
    </w:p>
    <w:p w14:paraId="2C4CF3C6" w14:textId="77777777" w:rsidR="00445B9F" w:rsidRPr="00445B9F" w:rsidRDefault="00445B9F" w:rsidP="00491575">
      <w:pPr>
        <w:jc w:val="both"/>
      </w:pPr>
      <w:r w:rsidRPr="00445B9F">
        <w:br/>
        <w:t>per questi motivi</w:t>
      </w:r>
    </w:p>
    <w:p w14:paraId="2C4CF3C7" w14:textId="77777777" w:rsidR="00445B9F" w:rsidRPr="00445B9F" w:rsidRDefault="00445B9F" w:rsidP="00491575">
      <w:pPr>
        <w:jc w:val="both"/>
      </w:pPr>
      <w:r w:rsidRPr="00445B9F">
        <w:t>LA CORTE COSTITUZIONALE</w:t>
      </w:r>
    </w:p>
    <w:p w14:paraId="2C4CF3C8" w14:textId="77777777" w:rsidR="00445B9F" w:rsidRPr="00445B9F" w:rsidRDefault="00445B9F" w:rsidP="00491575">
      <w:pPr>
        <w:jc w:val="both"/>
      </w:pPr>
      <w:r w:rsidRPr="00445B9F">
        <w:t>dichiara inammissibile il ricorso per conflitto di attribuzione tra enti indicato in epigrafe.</w:t>
      </w:r>
    </w:p>
    <w:p w14:paraId="2C4CF3C9" w14:textId="77777777" w:rsidR="00445B9F" w:rsidRPr="00445B9F" w:rsidRDefault="00445B9F" w:rsidP="00491575">
      <w:pPr>
        <w:jc w:val="both"/>
      </w:pPr>
      <w:r w:rsidRPr="00445B9F">
        <w:t>Così deciso in Roma, nella sede della Corte costituzionale, Palazzo della Consulta, il 24 settembre 2025.</w:t>
      </w:r>
    </w:p>
    <w:p w14:paraId="2C4CF3CA" w14:textId="77777777" w:rsidR="00445B9F" w:rsidRPr="00445B9F" w:rsidRDefault="00445B9F" w:rsidP="00491575">
      <w:pPr>
        <w:jc w:val="both"/>
      </w:pPr>
      <w:r w:rsidRPr="00445B9F">
        <w:t>F.to:</w:t>
      </w:r>
    </w:p>
    <w:p w14:paraId="2C4CF3CB" w14:textId="77777777" w:rsidR="00445B9F" w:rsidRPr="00445B9F" w:rsidRDefault="00445B9F" w:rsidP="00491575">
      <w:pPr>
        <w:jc w:val="both"/>
      </w:pPr>
      <w:r w:rsidRPr="00445B9F">
        <w:t>Giovanni AMOROSO, Presidente</w:t>
      </w:r>
    </w:p>
    <w:p w14:paraId="2C4CF3CC" w14:textId="77777777" w:rsidR="00445B9F" w:rsidRPr="00445B9F" w:rsidRDefault="00445B9F" w:rsidP="00491575">
      <w:pPr>
        <w:jc w:val="both"/>
      </w:pPr>
      <w:r w:rsidRPr="00445B9F">
        <w:t>Maria Rosaria SAN GIORGIO, Redattrice</w:t>
      </w:r>
    </w:p>
    <w:p w14:paraId="2C4CF3CD" w14:textId="77777777" w:rsidR="00445B9F" w:rsidRPr="00445B9F" w:rsidRDefault="00445B9F" w:rsidP="00491575">
      <w:pPr>
        <w:jc w:val="both"/>
      </w:pPr>
      <w:r w:rsidRPr="00445B9F">
        <w:t>Valeria EMMA, Cancelliere</w:t>
      </w:r>
    </w:p>
    <w:p w14:paraId="2C4CF3CE" w14:textId="77777777" w:rsidR="00445B9F" w:rsidRPr="00445B9F" w:rsidRDefault="00445B9F" w:rsidP="00491575">
      <w:pPr>
        <w:jc w:val="both"/>
      </w:pPr>
      <w:r w:rsidRPr="00445B9F">
        <w:t>Depositata in Cancelleria il 15 ottobre 2025</w:t>
      </w:r>
    </w:p>
    <w:p w14:paraId="2C4CF3CF" w14:textId="77777777" w:rsidR="00037F12" w:rsidRDefault="00037F12" w:rsidP="00491575">
      <w:pPr>
        <w:jc w:val="both"/>
      </w:pPr>
    </w:p>
    <w:sectPr w:rsidR="00037F1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D87751"/>
    <w:rsid w:val="00037F12"/>
    <w:rsid w:val="00117572"/>
    <w:rsid w:val="00124751"/>
    <w:rsid w:val="002D2A17"/>
    <w:rsid w:val="00445B9F"/>
    <w:rsid w:val="00491575"/>
    <w:rsid w:val="004F02EE"/>
    <w:rsid w:val="00944991"/>
    <w:rsid w:val="00D87751"/>
    <w:rsid w:val="00E11C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CF379"/>
  <w15:chartTrackingRefBased/>
  <w15:docId w15:val="{AFE8410F-31BC-42C0-91F6-3487A5B6F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87751"/>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Titolo2">
    <w:name w:val="heading 2"/>
    <w:basedOn w:val="Normale"/>
    <w:next w:val="Normale"/>
    <w:link w:val="Titolo2Carattere"/>
    <w:uiPriority w:val="9"/>
    <w:semiHidden/>
    <w:unhideWhenUsed/>
    <w:qFormat/>
    <w:rsid w:val="00D87751"/>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semiHidden/>
    <w:unhideWhenUsed/>
    <w:qFormat/>
    <w:rsid w:val="00D87751"/>
    <w:pPr>
      <w:keepNext/>
      <w:keepLines/>
      <w:spacing w:before="160" w:after="80"/>
      <w:outlineLvl w:val="2"/>
    </w:pPr>
    <w:rPr>
      <w:rFonts w:eastAsiaTheme="majorEastAsia" w:cstheme="majorBidi"/>
      <w:color w:val="365F91" w:themeColor="accent1" w:themeShade="BF"/>
      <w:sz w:val="28"/>
      <w:szCs w:val="28"/>
    </w:rPr>
  </w:style>
  <w:style w:type="paragraph" w:styleId="Titolo4">
    <w:name w:val="heading 4"/>
    <w:basedOn w:val="Normale"/>
    <w:next w:val="Normale"/>
    <w:link w:val="Titolo4Carattere"/>
    <w:uiPriority w:val="9"/>
    <w:semiHidden/>
    <w:unhideWhenUsed/>
    <w:qFormat/>
    <w:rsid w:val="00D87751"/>
    <w:pPr>
      <w:keepNext/>
      <w:keepLines/>
      <w:spacing w:before="80" w:after="40"/>
      <w:outlineLvl w:val="3"/>
    </w:pPr>
    <w:rPr>
      <w:rFonts w:eastAsiaTheme="majorEastAsia"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D87751"/>
    <w:pPr>
      <w:keepNext/>
      <w:keepLines/>
      <w:spacing w:before="80" w:after="40"/>
      <w:outlineLvl w:val="4"/>
    </w:pPr>
    <w:rPr>
      <w:rFonts w:eastAsiaTheme="majorEastAsia" w:cstheme="majorBidi"/>
      <w:color w:val="365F91" w:themeColor="accent1" w:themeShade="BF"/>
    </w:rPr>
  </w:style>
  <w:style w:type="paragraph" w:styleId="Titolo6">
    <w:name w:val="heading 6"/>
    <w:basedOn w:val="Normale"/>
    <w:next w:val="Normale"/>
    <w:link w:val="Titolo6Carattere"/>
    <w:uiPriority w:val="9"/>
    <w:semiHidden/>
    <w:unhideWhenUsed/>
    <w:qFormat/>
    <w:rsid w:val="00D87751"/>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87751"/>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87751"/>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87751"/>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87751"/>
    <w:rPr>
      <w:rFonts w:asciiTheme="majorHAnsi" w:eastAsiaTheme="majorEastAsia" w:hAnsiTheme="majorHAnsi" w:cstheme="majorBidi"/>
      <w:color w:val="365F91" w:themeColor="accent1" w:themeShade="BF"/>
      <w:sz w:val="40"/>
      <w:szCs w:val="40"/>
    </w:rPr>
  </w:style>
  <w:style w:type="character" w:customStyle="1" w:styleId="Titolo2Carattere">
    <w:name w:val="Titolo 2 Carattere"/>
    <w:basedOn w:val="Carpredefinitoparagrafo"/>
    <w:link w:val="Titolo2"/>
    <w:uiPriority w:val="9"/>
    <w:semiHidden/>
    <w:rsid w:val="00D87751"/>
    <w:rPr>
      <w:rFonts w:asciiTheme="majorHAnsi" w:eastAsiaTheme="majorEastAsia" w:hAnsiTheme="majorHAnsi" w:cstheme="majorBidi"/>
      <w:color w:val="365F91" w:themeColor="accent1" w:themeShade="BF"/>
      <w:sz w:val="32"/>
      <w:szCs w:val="32"/>
    </w:rPr>
  </w:style>
  <w:style w:type="character" w:customStyle="1" w:styleId="Titolo3Carattere">
    <w:name w:val="Titolo 3 Carattere"/>
    <w:basedOn w:val="Carpredefinitoparagrafo"/>
    <w:link w:val="Titolo3"/>
    <w:uiPriority w:val="9"/>
    <w:semiHidden/>
    <w:rsid w:val="00D87751"/>
    <w:rPr>
      <w:rFonts w:eastAsiaTheme="majorEastAsia" w:cstheme="majorBidi"/>
      <w:color w:val="365F91" w:themeColor="accent1" w:themeShade="BF"/>
      <w:sz w:val="28"/>
      <w:szCs w:val="28"/>
    </w:rPr>
  </w:style>
  <w:style w:type="character" w:customStyle="1" w:styleId="Titolo4Carattere">
    <w:name w:val="Titolo 4 Carattere"/>
    <w:basedOn w:val="Carpredefinitoparagrafo"/>
    <w:link w:val="Titolo4"/>
    <w:uiPriority w:val="9"/>
    <w:semiHidden/>
    <w:rsid w:val="00D87751"/>
    <w:rPr>
      <w:rFonts w:eastAsiaTheme="majorEastAsia" w:cstheme="majorBidi"/>
      <w:i/>
      <w:iCs/>
      <w:color w:val="365F91" w:themeColor="accent1" w:themeShade="BF"/>
    </w:rPr>
  </w:style>
  <w:style w:type="character" w:customStyle="1" w:styleId="Titolo5Carattere">
    <w:name w:val="Titolo 5 Carattere"/>
    <w:basedOn w:val="Carpredefinitoparagrafo"/>
    <w:link w:val="Titolo5"/>
    <w:uiPriority w:val="9"/>
    <w:semiHidden/>
    <w:rsid w:val="00D87751"/>
    <w:rPr>
      <w:rFonts w:eastAsiaTheme="majorEastAsia" w:cstheme="majorBidi"/>
      <w:color w:val="365F91" w:themeColor="accent1" w:themeShade="BF"/>
    </w:rPr>
  </w:style>
  <w:style w:type="character" w:customStyle="1" w:styleId="Titolo6Carattere">
    <w:name w:val="Titolo 6 Carattere"/>
    <w:basedOn w:val="Carpredefinitoparagrafo"/>
    <w:link w:val="Titolo6"/>
    <w:uiPriority w:val="9"/>
    <w:semiHidden/>
    <w:rsid w:val="00D8775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8775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8775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87751"/>
    <w:rPr>
      <w:rFonts w:eastAsiaTheme="majorEastAsia" w:cstheme="majorBidi"/>
      <w:color w:val="272727" w:themeColor="text1" w:themeTint="D8"/>
    </w:rPr>
  </w:style>
  <w:style w:type="paragraph" w:styleId="Titolo">
    <w:name w:val="Title"/>
    <w:basedOn w:val="Normale"/>
    <w:next w:val="Normale"/>
    <w:link w:val="TitoloCarattere"/>
    <w:uiPriority w:val="10"/>
    <w:qFormat/>
    <w:rsid w:val="00D877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8775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87751"/>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8775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87751"/>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D87751"/>
    <w:rPr>
      <w:i/>
      <w:iCs/>
      <w:color w:val="404040" w:themeColor="text1" w:themeTint="BF"/>
    </w:rPr>
  </w:style>
  <w:style w:type="paragraph" w:styleId="Paragrafoelenco">
    <w:name w:val="List Paragraph"/>
    <w:basedOn w:val="Normale"/>
    <w:uiPriority w:val="34"/>
    <w:qFormat/>
    <w:rsid w:val="00D87751"/>
    <w:pPr>
      <w:ind w:left="720"/>
      <w:contextualSpacing/>
    </w:pPr>
  </w:style>
  <w:style w:type="character" w:styleId="Enfasiintensa">
    <w:name w:val="Intense Emphasis"/>
    <w:basedOn w:val="Carpredefinitoparagrafo"/>
    <w:uiPriority w:val="21"/>
    <w:qFormat/>
    <w:rsid w:val="00D87751"/>
    <w:rPr>
      <w:i/>
      <w:iCs/>
      <w:color w:val="365F91" w:themeColor="accent1" w:themeShade="BF"/>
    </w:rPr>
  </w:style>
  <w:style w:type="paragraph" w:styleId="Citazioneintensa">
    <w:name w:val="Intense Quote"/>
    <w:basedOn w:val="Normale"/>
    <w:next w:val="Normale"/>
    <w:link w:val="CitazioneintensaCarattere"/>
    <w:uiPriority w:val="30"/>
    <w:qFormat/>
    <w:rsid w:val="00D87751"/>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zioneintensaCarattere">
    <w:name w:val="Citazione intensa Carattere"/>
    <w:basedOn w:val="Carpredefinitoparagrafo"/>
    <w:link w:val="Citazioneintensa"/>
    <w:uiPriority w:val="30"/>
    <w:rsid w:val="00D87751"/>
    <w:rPr>
      <w:i/>
      <w:iCs/>
      <w:color w:val="365F91" w:themeColor="accent1" w:themeShade="BF"/>
    </w:rPr>
  </w:style>
  <w:style w:type="character" w:styleId="Riferimentointenso">
    <w:name w:val="Intense Reference"/>
    <w:basedOn w:val="Carpredefinitoparagrafo"/>
    <w:uiPriority w:val="32"/>
    <w:qFormat/>
    <w:rsid w:val="00D87751"/>
    <w:rPr>
      <w:b/>
      <w:bCs/>
      <w:smallCaps/>
      <w:color w:val="365F91" w:themeColor="accent1" w:themeShade="BF"/>
      <w:spacing w:val="5"/>
    </w:rPr>
  </w:style>
  <w:style w:type="character" w:styleId="Collegamentoipertestuale">
    <w:name w:val="Hyperlink"/>
    <w:basedOn w:val="Carpredefinitoparagrafo"/>
    <w:uiPriority w:val="99"/>
    <w:unhideWhenUsed/>
    <w:rsid w:val="00445B9F"/>
    <w:rPr>
      <w:color w:val="0000FF" w:themeColor="hyperlink"/>
      <w:u w:val="single"/>
    </w:rPr>
  </w:style>
  <w:style w:type="character" w:styleId="Menzionenonrisolta">
    <w:name w:val="Unresolved Mention"/>
    <w:basedOn w:val="Carpredefinitoparagrafo"/>
    <w:uiPriority w:val="99"/>
    <w:semiHidden/>
    <w:unhideWhenUsed/>
    <w:rsid w:val="00445B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urcost.org/decisioni/2011/0332s-11.html" TargetMode="External"/><Relationship Id="rId3" Type="http://schemas.openxmlformats.org/officeDocument/2006/relationships/webSettings" Target="webSettings.xml"/><Relationship Id="rId7" Type="http://schemas.openxmlformats.org/officeDocument/2006/relationships/hyperlink" Target="https://giurcost.org/decisioni/2022/0090s-22.html"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iurcost.org/decisioni/2011/0332s-11.html" TargetMode="External"/><Relationship Id="rId11" Type="http://schemas.openxmlformats.org/officeDocument/2006/relationships/fontTable" Target="fontTable.xml"/><Relationship Id="rId5" Type="http://schemas.openxmlformats.org/officeDocument/2006/relationships/hyperlink" Target="https://giurcost.org/decisioni/2025/0148s-25.html" TargetMode="External"/><Relationship Id="rId10" Type="http://schemas.openxmlformats.org/officeDocument/2006/relationships/hyperlink" Target="https://giurcost.org/decisioni/1994/0211s-94.html" TargetMode="External"/><Relationship Id="rId4" Type="http://schemas.openxmlformats.org/officeDocument/2006/relationships/hyperlink" Target="https://giurcost.org/decisioni/2025/0148s-25.html" TargetMode="External"/><Relationship Id="rId9" Type="http://schemas.openxmlformats.org/officeDocument/2006/relationships/hyperlink" Target="https://giurcost.org/decisioni/2011/0340s-11.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2096</Words>
  <Characters>11950</Characters>
  <Application>Microsoft Office Word</Application>
  <DocSecurity>0</DocSecurity>
  <Lines>99</Lines>
  <Paragraphs>28</Paragraphs>
  <ScaleCrop>false</ScaleCrop>
  <Company/>
  <LinksUpToDate>false</LinksUpToDate>
  <CharactersWithSpaces>14018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8</cp:revision>
  <dcterms:created xsi:type="dcterms:W3CDTF">2025-10-29T15:15:00Z</dcterms:created>
  <dcterms:modified xsi:type="dcterms:W3CDTF">2025-10-29T16:52:00Z</dcterms:modified>
</cp:coreProperties>
</file>